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7D58A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3979C4">
              <w:rPr>
                <w:rFonts w:ascii="Arial" w:hAnsi="Arial" w:cs="Arial"/>
                <w:b/>
                <w:sz w:val="26"/>
                <w:szCs w:val="26"/>
              </w:rPr>
              <w:t>IVA A LA SESIÓN EXTRAORDINARIA 53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3979C4">
        <w:rPr>
          <w:rFonts w:ascii="Arial" w:hAnsi="Arial" w:cs="Arial"/>
          <w:sz w:val="28"/>
          <w:szCs w:val="28"/>
        </w:rPr>
        <w:t xml:space="preserve"> </w:t>
      </w:r>
      <w:r w:rsidR="00D67061">
        <w:rPr>
          <w:rFonts w:ascii="Arial" w:hAnsi="Arial" w:cs="Arial"/>
          <w:sz w:val="28"/>
          <w:szCs w:val="28"/>
        </w:rPr>
        <w:t>cinco</w:t>
      </w:r>
      <w:r w:rsidR="003A6B30">
        <w:rPr>
          <w:rFonts w:ascii="Arial" w:hAnsi="Arial" w:cs="Arial"/>
          <w:sz w:val="28"/>
          <w:szCs w:val="28"/>
        </w:rPr>
        <w:t xml:space="preserve"> </w:t>
      </w:r>
      <w:r w:rsidR="003979C4">
        <w:rPr>
          <w:rFonts w:ascii="Arial" w:hAnsi="Arial" w:cs="Arial"/>
          <w:sz w:val="28"/>
          <w:szCs w:val="28"/>
        </w:rPr>
        <w:t>de septiembre</w:t>
      </w:r>
      <w:r w:rsidRPr="00BB457C">
        <w:rPr>
          <w:rFonts w:ascii="Arial" w:hAnsi="Arial" w:cs="Arial"/>
          <w:sz w:val="28"/>
          <w:szCs w:val="28"/>
        </w:rPr>
        <w:t xml:space="preserve"> 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3A6B30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3979C4">
        <w:rPr>
          <w:rFonts w:ascii="Arial" w:hAnsi="Arial" w:cs="Arial"/>
          <w:sz w:val="28"/>
          <w:szCs w:val="28"/>
        </w:rPr>
        <w:t>ebrar la sesión extraordinaria 53</w:t>
      </w:r>
      <w:r w:rsidR="003105B5" w:rsidRPr="00BB457C">
        <w:rPr>
          <w:rFonts w:ascii="Arial" w:hAnsi="Arial" w:cs="Arial"/>
          <w:sz w:val="28"/>
          <w:szCs w:val="28"/>
        </w:rPr>
        <w:t xml:space="preserve">/2017 del presente año. </w:t>
      </w:r>
    </w:p>
    <w:p w:rsidR="003A6B30" w:rsidRPr="00BB457C" w:rsidRDefault="003A6B30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721DCB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ORDEN DEL DÍA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Aprobación del orden del día.</w:t>
      </w:r>
    </w:p>
    <w:p w:rsidR="003105B5" w:rsidRPr="00721DC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721DC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>Asuntos a tratar:</w:t>
      </w:r>
    </w:p>
    <w:p w:rsidR="00E517EF" w:rsidRPr="00721DCB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lastRenderedPageBreak/>
        <w:t>Ú</w:t>
      </w:r>
      <w:r w:rsidR="00884284" w:rsidRPr="00721DCB">
        <w:rPr>
          <w:rFonts w:ascii="Arial" w:hAnsi="Arial" w:cs="Arial"/>
          <w:sz w:val="28"/>
          <w:szCs w:val="28"/>
        </w:rPr>
        <w:t xml:space="preserve">NICO. </w:t>
      </w:r>
      <w:r w:rsidR="00AD66D5" w:rsidRPr="001C1EA5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3979C4">
        <w:rPr>
          <w:rFonts w:ascii="Arial" w:hAnsi="Arial" w:cs="Arial"/>
          <w:b/>
          <w:sz w:val="28"/>
          <w:szCs w:val="28"/>
        </w:rPr>
        <w:t>13</w:t>
      </w:r>
      <w:r w:rsidR="00AD66D5" w:rsidRPr="001C1EA5">
        <w:rPr>
          <w:rFonts w:ascii="Arial" w:hAnsi="Arial" w:cs="Arial"/>
          <w:b/>
          <w:sz w:val="28"/>
          <w:szCs w:val="28"/>
        </w:rPr>
        <w:t>/17</w:t>
      </w:r>
      <w:r w:rsidR="00AD66D5" w:rsidRPr="00721DCB">
        <w:rPr>
          <w:rFonts w:ascii="Arial" w:hAnsi="Arial" w:cs="Arial"/>
          <w:sz w:val="28"/>
          <w:szCs w:val="28"/>
        </w:rPr>
        <w:t>, derivado de la</w:t>
      </w:r>
      <w:r w:rsidR="001642A3">
        <w:rPr>
          <w:rFonts w:ascii="Arial" w:hAnsi="Arial" w:cs="Arial"/>
          <w:sz w:val="28"/>
          <w:szCs w:val="28"/>
        </w:rPr>
        <w:t>s</w:t>
      </w:r>
      <w:r w:rsidR="00AD66D5" w:rsidRPr="00721DCB">
        <w:rPr>
          <w:rFonts w:ascii="Arial" w:hAnsi="Arial" w:cs="Arial"/>
          <w:sz w:val="28"/>
          <w:szCs w:val="28"/>
        </w:rPr>
        <w:t xml:space="preserve"> solicitud</w:t>
      </w:r>
      <w:r w:rsidR="001642A3">
        <w:rPr>
          <w:rFonts w:ascii="Arial" w:hAnsi="Arial" w:cs="Arial"/>
          <w:sz w:val="28"/>
          <w:szCs w:val="28"/>
        </w:rPr>
        <w:t>es de información registradas con los</w:t>
      </w:r>
      <w:r w:rsidR="003D0438">
        <w:rPr>
          <w:rFonts w:ascii="Arial" w:hAnsi="Arial" w:cs="Arial"/>
          <w:sz w:val="28"/>
          <w:szCs w:val="28"/>
        </w:rPr>
        <w:t xml:space="preserve"> </w:t>
      </w:r>
      <w:r w:rsidR="001642A3">
        <w:rPr>
          <w:rFonts w:ascii="Arial" w:hAnsi="Arial" w:cs="Arial"/>
          <w:sz w:val="28"/>
          <w:szCs w:val="28"/>
        </w:rPr>
        <w:t>números</w:t>
      </w:r>
      <w:r w:rsidR="003A6B30">
        <w:rPr>
          <w:rFonts w:ascii="Arial" w:hAnsi="Arial" w:cs="Arial"/>
          <w:sz w:val="28"/>
          <w:szCs w:val="28"/>
        </w:rPr>
        <w:t xml:space="preserve"> de folio</w:t>
      </w:r>
      <w:r w:rsidR="0091103B">
        <w:rPr>
          <w:rFonts w:ascii="Arial" w:hAnsi="Arial" w:cs="Arial"/>
          <w:sz w:val="28"/>
          <w:szCs w:val="28"/>
        </w:rPr>
        <w:t xml:space="preserve"> 00</w:t>
      </w:r>
      <w:r w:rsidR="003E6360">
        <w:rPr>
          <w:rFonts w:ascii="Arial" w:hAnsi="Arial" w:cs="Arial"/>
          <w:sz w:val="28"/>
          <w:szCs w:val="28"/>
        </w:rPr>
        <w:t>46</w:t>
      </w:r>
      <w:r w:rsidR="0091103B">
        <w:rPr>
          <w:rFonts w:ascii="Arial" w:hAnsi="Arial" w:cs="Arial"/>
          <w:sz w:val="28"/>
          <w:szCs w:val="28"/>
        </w:rPr>
        <w:t>9717 y 00469817</w:t>
      </w:r>
      <w:r w:rsidR="003E6360">
        <w:rPr>
          <w:rFonts w:ascii="Arial" w:hAnsi="Arial" w:cs="Arial"/>
          <w:sz w:val="28"/>
          <w:szCs w:val="28"/>
        </w:rPr>
        <w:t>, que se han realizado</w:t>
      </w:r>
      <w:r w:rsidR="00AD66D5" w:rsidRPr="00721DCB">
        <w:rPr>
          <w:rFonts w:ascii="Arial" w:hAnsi="Arial" w:cs="Arial"/>
          <w:sz w:val="28"/>
          <w:szCs w:val="28"/>
        </w:rPr>
        <w:t xml:space="preserve"> mediante </w:t>
      </w:r>
      <w:r w:rsidR="007D58A8" w:rsidRPr="00721DCB">
        <w:rPr>
          <w:rFonts w:ascii="Arial" w:hAnsi="Arial" w:cs="Arial"/>
          <w:sz w:val="28"/>
          <w:szCs w:val="28"/>
        </w:rPr>
        <w:t>l</w:t>
      </w:r>
      <w:r w:rsidR="003E6360">
        <w:rPr>
          <w:rFonts w:ascii="Arial" w:hAnsi="Arial" w:cs="Arial"/>
          <w:sz w:val="28"/>
          <w:szCs w:val="28"/>
        </w:rPr>
        <w:t>a Plataforma Nacional de Transparencia,</w:t>
      </w:r>
      <w:r w:rsidR="00AD66D5" w:rsidRPr="00721DCB">
        <w:rPr>
          <w:rFonts w:ascii="Arial" w:hAnsi="Arial" w:cs="Arial"/>
          <w:sz w:val="28"/>
          <w:szCs w:val="28"/>
        </w:rPr>
        <w:t xml:space="preserve"> </w:t>
      </w:r>
      <w:r w:rsidR="00171374" w:rsidRPr="00721DCB">
        <w:rPr>
          <w:rFonts w:ascii="Arial" w:hAnsi="Arial" w:cs="Arial"/>
          <w:sz w:val="28"/>
          <w:szCs w:val="28"/>
        </w:rPr>
        <w:t xml:space="preserve">el </w:t>
      </w:r>
      <w:r w:rsidR="00AF439A">
        <w:rPr>
          <w:rFonts w:ascii="Arial" w:hAnsi="Arial" w:cs="Arial"/>
          <w:sz w:val="28"/>
          <w:szCs w:val="28"/>
        </w:rPr>
        <w:t>veintitrés de</w:t>
      </w:r>
      <w:r w:rsidR="003E6360">
        <w:rPr>
          <w:rFonts w:ascii="Arial" w:hAnsi="Arial" w:cs="Arial"/>
          <w:sz w:val="28"/>
          <w:szCs w:val="28"/>
        </w:rPr>
        <w:t xml:space="preserve"> agosto</w:t>
      </w:r>
      <w:r w:rsidR="00E517EF" w:rsidRPr="00721DCB">
        <w:rPr>
          <w:rFonts w:ascii="Arial" w:hAnsi="Arial" w:cs="Arial"/>
          <w:sz w:val="28"/>
          <w:szCs w:val="28"/>
        </w:rPr>
        <w:t xml:space="preserve"> de dos</w:t>
      </w:r>
      <w:r w:rsidR="003E6360">
        <w:rPr>
          <w:rFonts w:ascii="Arial" w:hAnsi="Arial" w:cs="Arial"/>
          <w:sz w:val="28"/>
          <w:szCs w:val="28"/>
        </w:rPr>
        <w:t xml:space="preserve"> mil diecisiete</w:t>
      </w:r>
      <w:r w:rsidR="00E517EF" w:rsidRPr="00721DCB">
        <w:rPr>
          <w:rFonts w:ascii="Arial" w:hAnsi="Arial" w:cs="Arial"/>
          <w:sz w:val="28"/>
          <w:szCs w:val="28"/>
        </w:rPr>
        <w:t>.</w:t>
      </w:r>
    </w:p>
    <w:p w:rsidR="00C65080" w:rsidRPr="00721DC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B3556" w:rsidRPr="00721DCB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Visto el proyecto de resolución presentado por la Secretaria </w:t>
      </w:r>
      <w:r w:rsidR="00171374" w:rsidRPr="00721DCB">
        <w:rPr>
          <w:rFonts w:ascii="Arial" w:hAnsi="Arial" w:cs="Arial"/>
          <w:sz w:val="28"/>
          <w:szCs w:val="28"/>
        </w:rPr>
        <w:t xml:space="preserve">del </w:t>
      </w:r>
      <w:r w:rsidRPr="00721DCB">
        <w:rPr>
          <w:rFonts w:ascii="Arial" w:hAnsi="Arial" w:cs="Arial"/>
          <w:sz w:val="28"/>
          <w:szCs w:val="28"/>
        </w:rPr>
        <w:t xml:space="preserve">Comité, </w:t>
      </w:r>
      <w:r w:rsidR="000929A8" w:rsidRPr="00721DCB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información Pública para el Estado de Baja California; 8 y 11 fracción XIII, del Reglamento para la Transparencia y Acceso a la Información Pública del Poder Judicial del Estado de Baja California, </w:t>
      </w:r>
      <w:r w:rsidR="000929A8" w:rsidRPr="001C1EA5">
        <w:rPr>
          <w:rFonts w:ascii="Arial" w:hAnsi="Arial" w:cs="Arial"/>
          <w:b/>
          <w:sz w:val="28"/>
          <w:szCs w:val="28"/>
        </w:rPr>
        <w:t>se aprobó por unanimidad de votos</w:t>
      </w:r>
      <w:r w:rsidRPr="001C1EA5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1C1EA5">
        <w:rPr>
          <w:rFonts w:ascii="Arial" w:hAnsi="Arial" w:cs="Arial"/>
          <w:b/>
          <w:sz w:val="28"/>
          <w:szCs w:val="28"/>
        </w:rPr>
        <w:t>otorgando</w:t>
      </w:r>
      <w:r w:rsidR="000929A8" w:rsidRPr="001C1EA5">
        <w:rPr>
          <w:rFonts w:ascii="Arial" w:hAnsi="Arial" w:cs="Arial"/>
          <w:b/>
          <w:sz w:val="28"/>
          <w:szCs w:val="28"/>
        </w:rPr>
        <w:t xml:space="preserve"> la ampliación del plazo solicitado,</w:t>
      </w:r>
      <w:r w:rsidR="000929A8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CONSIDERANDO QUE: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D58A8" w:rsidRPr="00721DC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E517EF" w:rsidRPr="00721DCB">
        <w:rPr>
          <w:rFonts w:ascii="Arial" w:hAnsi="Arial" w:cs="Arial"/>
          <w:sz w:val="28"/>
          <w:szCs w:val="28"/>
        </w:rPr>
        <w:t>M</w:t>
      </w:r>
      <w:r w:rsidR="00AD66D5" w:rsidRPr="00721DCB">
        <w:rPr>
          <w:rFonts w:ascii="Arial" w:hAnsi="Arial" w:cs="Arial"/>
          <w:sz w:val="28"/>
          <w:szCs w:val="28"/>
        </w:rPr>
        <w:t>ediante la</w:t>
      </w:r>
      <w:r w:rsidR="00E72E22">
        <w:rPr>
          <w:rFonts w:ascii="Arial" w:hAnsi="Arial" w:cs="Arial"/>
          <w:sz w:val="28"/>
          <w:szCs w:val="28"/>
        </w:rPr>
        <w:t>s</w:t>
      </w:r>
      <w:r w:rsidR="00AD66D5" w:rsidRPr="00721DCB">
        <w:rPr>
          <w:rFonts w:ascii="Arial" w:hAnsi="Arial" w:cs="Arial"/>
          <w:sz w:val="28"/>
          <w:szCs w:val="28"/>
        </w:rPr>
        <w:t xml:space="preserve"> </w:t>
      </w:r>
      <w:r w:rsidR="00E517EF" w:rsidRPr="00721DCB">
        <w:rPr>
          <w:rFonts w:ascii="Arial" w:hAnsi="Arial" w:cs="Arial"/>
          <w:sz w:val="28"/>
          <w:szCs w:val="28"/>
        </w:rPr>
        <w:t>solicitud</w:t>
      </w:r>
      <w:r w:rsidR="00E72E22">
        <w:rPr>
          <w:rFonts w:ascii="Arial" w:hAnsi="Arial" w:cs="Arial"/>
          <w:sz w:val="28"/>
          <w:szCs w:val="28"/>
        </w:rPr>
        <w:t>es</w:t>
      </w:r>
      <w:r w:rsidR="00E517EF" w:rsidRPr="00721DCB">
        <w:rPr>
          <w:rFonts w:ascii="Arial" w:hAnsi="Arial" w:cs="Arial"/>
          <w:sz w:val="28"/>
          <w:szCs w:val="28"/>
        </w:rPr>
        <w:t xml:space="preserve"> de referencia </w:t>
      </w:r>
      <w:r w:rsidR="00AD66D5" w:rsidRPr="00721DCB">
        <w:rPr>
          <w:rFonts w:ascii="Arial" w:hAnsi="Arial" w:cs="Arial"/>
          <w:sz w:val="28"/>
          <w:szCs w:val="28"/>
        </w:rPr>
        <w:t>se pide</w:t>
      </w:r>
      <w:r w:rsidR="00973D26">
        <w:rPr>
          <w:rFonts w:ascii="Arial" w:hAnsi="Arial" w:cs="Arial"/>
          <w:sz w:val="28"/>
          <w:szCs w:val="28"/>
        </w:rPr>
        <w:t xml:space="preserve"> el</w:t>
      </w:r>
      <w:r w:rsidR="00AD66D5" w:rsidRPr="00973D26">
        <w:rPr>
          <w:rFonts w:ascii="Arial" w:hAnsi="Arial" w:cs="Arial"/>
          <w:sz w:val="28"/>
          <w:szCs w:val="28"/>
        </w:rPr>
        <w:t xml:space="preserve"> </w:t>
      </w:r>
      <w:r w:rsidR="002A17B7">
        <w:rPr>
          <w:rFonts w:ascii="Arial" w:hAnsi="Arial" w:cs="Arial"/>
          <w:sz w:val="28"/>
          <w:szCs w:val="28"/>
        </w:rPr>
        <w:t>número de procesos penales por los delitos de homicidio en razón del parentesco</w:t>
      </w:r>
      <w:r w:rsidR="005D529B" w:rsidRPr="00973D26">
        <w:rPr>
          <w:rFonts w:ascii="Arial" w:hAnsi="Arial" w:cs="Arial"/>
          <w:sz w:val="28"/>
          <w:szCs w:val="28"/>
        </w:rPr>
        <w:t xml:space="preserve">, </w:t>
      </w:r>
      <w:r w:rsidR="00973D26">
        <w:rPr>
          <w:rFonts w:ascii="Arial" w:hAnsi="Arial" w:cs="Arial"/>
          <w:sz w:val="28"/>
          <w:szCs w:val="28"/>
        </w:rPr>
        <w:t xml:space="preserve">siendo </w:t>
      </w:r>
      <w:r w:rsidR="00BD52B8">
        <w:rPr>
          <w:rFonts w:ascii="Arial" w:hAnsi="Arial" w:cs="Arial"/>
          <w:sz w:val="28"/>
          <w:szCs w:val="28"/>
        </w:rPr>
        <w:t>la presunta responsable una mujer</w:t>
      </w:r>
      <w:r w:rsidR="00973D26">
        <w:rPr>
          <w:rFonts w:ascii="Arial" w:hAnsi="Arial" w:cs="Arial"/>
          <w:sz w:val="28"/>
          <w:szCs w:val="28"/>
        </w:rPr>
        <w:t>, en el periodo del 1</w:t>
      </w:r>
      <w:r w:rsidR="002A17B7">
        <w:rPr>
          <w:rFonts w:ascii="Arial" w:hAnsi="Arial" w:cs="Arial"/>
          <w:sz w:val="28"/>
          <w:szCs w:val="28"/>
        </w:rPr>
        <w:t xml:space="preserve"> de enero de 2008</w:t>
      </w:r>
      <w:r w:rsidR="0085294F" w:rsidRPr="00973D26">
        <w:rPr>
          <w:rFonts w:ascii="Arial" w:hAnsi="Arial" w:cs="Arial"/>
          <w:sz w:val="28"/>
          <w:szCs w:val="28"/>
        </w:rPr>
        <w:t xml:space="preserve"> al </w:t>
      </w:r>
      <w:r w:rsidR="002A17B7">
        <w:rPr>
          <w:rFonts w:ascii="Arial" w:hAnsi="Arial" w:cs="Arial"/>
          <w:sz w:val="28"/>
          <w:szCs w:val="28"/>
        </w:rPr>
        <w:t>25</w:t>
      </w:r>
      <w:r w:rsidR="0085294F" w:rsidRPr="00973D26">
        <w:rPr>
          <w:rFonts w:ascii="Arial" w:hAnsi="Arial" w:cs="Arial"/>
          <w:sz w:val="28"/>
          <w:szCs w:val="28"/>
        </w:rPr>
        <w:t xml:space="preserve"> de julio de 2017, </w:t>
      </w:r>
      <w:r w:rsidR="00B73739">
        <w:rPr>
          <w:rFonts w:ascii="Arial" w:hAnsi="Arial" w:cs="Arial"/>
          <w:sz w:val="28"/>
          <w:szCs w:val="28"/>
        </w:rPr>
        <w:t>solicitando desagregar la información según diversos datos de las causas penales</w:t>
      </w:r>
      <w:r w:rsidR="0085294F" w:rsidRPr="00973D26">
        <w:rPr>
          <w:rFonts w:ascii="Arial" w:hAnsi="Arial" w:cs="Arial"/>
          <w:sz w:val="28"/>
          <w:szCs w:val="28"/>
        </w:rPr>
        <w:t xml:space="preserve">.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11F25" w:rsidRPr="00D67061" w:rsidRDefault="00D67061" w:rsidP="00D670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C6482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L</w:t>
      </w:r>
      <w:r w:rsidRPr="00D67061">
        <w:rPr>
          <w:rFonts w:ascii="Arial" w:hAnsi="Arial" w:cs="Arial"/>
          <w:sz w:val="28"/>
          <w:szCs w:val="28"/>
        </w:rPr>
        <w:t xml:space="preserve">a Unidad de Transparencia inició la búsqueda de la información solicitada, requiriendo de ella a la Oficialía Mayor del Consejo de la Judicatura, a los Administradores Judiciales del Nuevo Sistema de Justicia Penal y a los </w:t>
      </w:r>
      <w:r w:rsidRPr="00BD52B8">
        <w:rPr>
          <w:rFonts w:ascii="Arial" w:hAnsi="Arial" w:cs="Arial"/>
          <w:sz w:val="28"/>
          <w:szCs w:val="28"/>
        </w:rPr>
        <w:t>Jueces Penales y Mixtos de Primera Instancia de</w:t>
      </w:r>
      <w:r w:rsidR="00340682" w:rsidRPr="00BD52B8">
        <w:rPr>
          <w:rFonts w:ascii="Arial" w:hAnsi="Arial" w:cs="Arial"/>
          <w:sz w:val="28"/>
          <w:szCs w:val="28"/>
        </w:rPr>
        <w:t xml:space="preserve">l Estado </w:t>
      </w:r>
      <w:r w:rsidR="00865FC6" w:rsidRPr="00BD52B8">
        <w:rPr>
          <w:rFonts w:ascii="Arial" w:hAnsi="Arial" w:cs="Arial"/>
          <w:sz w:val="28"/>
          <w:szCs w:val="28"/>
        </w:rPr>
        <w:t xml:space="preserve">girando </w:t>
      </w:r>
      <w:r w:rsidR="00BF4811" w:rsidRPr="00BD52B8">
        <w:rPr>
          <w:rFonts w:ascii="Arial" w:hAnsi="Arial" w:cs="Arial"/>
          <w:sz w:val="28"/>
          <w:szCs w:val="28"/>
        </w:rPr>
        <w:t>l</w:t>
      </w:r>
      <w:r w:rsidR="002A70AF" w:rsidRPr="00FC6482">
        <w:rPr>
          <w:rFonts w:ascii="Arial" w:hAnsi="Arial" w:cs="Arial"/>
          <w:sz w:val="28"/>
          <w:szCs w:val="28"/>
        </w:rPr>
        <w:t>os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BF4811" w:rsidRPr="00FC6482">
        <w:rPr>
          <w:rFonts w:ascii="Arial" w:hAnsi="Arial" w:cs="Arial"/>
          <w:sz w:val="28"/>
          <w:szCs w:val="28"/>
        </w:rPr>
        <w:t>oficio</w:t>
      </w:r>
      <w:r w:rsidR="002A70AF" w:rsidRPr="00FC6482">
        <w:rPr>
          <w:rFonts w:ascii="Arial" w:hAnsi="Arial" w:cs="Arial"/>
          <w:sz w:val="28"/>
          <w:szCs w:val="28"/>
        </w:rPr>
        <w:t>s</w:t>
      </w:r>
      <w:r w:rsidR="00BF4811" w:rsidRPr="00FC6482">
        <w:rPr>
          <w:rFonts w:ascii="Arial" w:hAnsi="Arial" w:cs="Arial"/>
          <w:sz w:val="28"/>
          <w:szCs w:val="28"/>
        </w:rPr>
        <w:t xml:space="preserve"> número</w:t>
      </w:r>
      <w:r w:rsidR="002A70AF" w:rsidRPr="00FC6482">
        <w:rPr>
          <w:rFonts w:ascii="Arial" w:hAnsi="Arial" w:cs="Arial"/>
          <w:sz w:val="28"/>
          <w:szCs w:val="28"/>
        </w:rPr>
        <w:t>s</w:t>
      </w:r>
      <w:r w:rsidR="00C65080" w:rsidRPr="00FC6482">
        <w:rPr>
          <w:rFonts w:ascii="Arial" w:hAnsi="Arial" w:cs="Arial"/>
          <w:sz w:val="28"/>
          <w:szCs w:val="28"/>
        </w:rPr>
        <w:t xml:space="preserve"> </w:t>
      </w:r>
      <w:r w:rsidR="00CC3C54">
        <w:rPr>
          <w:rFonts w:ascii="Arial" w:hAnsi="Arial" w:cs="Arial"/>
          <w:sz w:val="26"/>
          <w:szCs w:val="26"/>
        </w:rPr>
        <w:t>1435</w:t>
      </w:r>
      <w:r w:rsidR="00011F25" w:rsidRPr="00B73739">
        <w:rPr>
          <w:rFonts w:ascii="Arial" w:hAnsi="Arial" w:cs="Arial"/>
          <w:sz w:val="26"/>
          <w:szCs w:val="26"/>
        </w:rPr>
        <w:t>/</w:t>
      </w:r>
      <w:r w:rsidR="002A70AF" w:rsidRPr="00B73739">
        <w:rPr>
          <w:rFonts w:ascii="Arial" w:hAnsi="Arial" w:cs="Arial"/>
          <w:sz w:val="26"/>
          <w:szCs w:val="26"/>
        </w:rPr>
        <w:t>UT/MXL/</w:t>
      </w:r>
      <w:r>
        <w:rPr>
          <w:rFonts w:ascii="Arial" w:hAnsi="Arial" w:cs="Arial"/>
          <w:sz w:val="26"/>
          <w:szCs w:val="26"/>
        </w:rPr>
        <w:t xml:space="preserve">2017 a </w:t>
      </w:r>
      <w:r w:rsidR="00CC3C54">
        <w:rPr>
          <w:rFonts w:ascii="Arial" w:hAnsi="Arial" w:cs="Arial"/>
          <w:sz w:val="28"/>
          <w:szCs w:val="28"/>
        </w:rPr>
        <w:lastRenderedPageBreak/>
        <w:t>1485/UT/MXL/2017</w:t>
      </w:r>
      <w:r>
        <w:rPr>
          <w:rFonts w:ascii="Arial" w:hAnsi="Arial" w:cs="Arial"/>
          <w:sz w:val="28"/>
          <w:szCs w:val="28"/>
        </w:rPr>
        <w:t>,</w:t>
      </w:r>
      <w:r w:rsidR="000D45A3">
        <w:rPr>
          <w:rFonts w:ascii="Arial" w:hAnsi="Arial" w:cs="Arial"/>
          <w:sz w:val="28"/>
          <w:szCs w:val="28"/>
        </w:rPr>
        <w:t xml:space="preserve"> </w:t>
      </w:r>
      <w:r w:rsidR="002A70AF" w:rsidRPr="00FC6482">
        <w:rPr>
          <w:rFonts w:ascii="Arial" w:hAnsi="Arial" w:cs="Arial"/>
          <w:sz w:val="28"/>
          <w:szCs w:val="28"/>
        </w:rPr>
        <w:t>de fecha</w:t>
      </w:r>
      <w:r w:rsidR="000D45A3">
        <w:rPr>
          <w:rFonts w:ascii="Arial" w:hAnsi="Arial" w:cs="Arial"/>
          <w:sz w:val="28"/>
          <w:szCs w:val="28"/>
        </w:rPr>
        <w:t>s veinticuatro de</w:t>
      </w:r>
      <w:r w:rsidR="003D0438">
        <w:rPr>
          <w:rFonts w:ascii="Arial" w:hAnsi="Arial" w:cs="Arial"/>
          <w:sz w:val="28"/>
          <w:szCs w:val="28"/>
        </w:rPr>
        <w:t xml:space="preserve"> </w:t>
      </w:r>
      <w:r w:rsidR="006C7AAA" w:rsidRPr="00FC6482">
        <w:rPr>
          <w:rFonts w:ascii="Arial" w:hAnsi="Arial" w:cs="Arial"/>
          <w:sz w:val="28"/>
          <w:szCs w:val="28"/>
        </w:rPr>
        <w:t>agosto</w:t>
      </w:r>
      <w:r w:rsidR="000D45A3">
        <w:rPr>
          <w:rFonts w:ascii="Arial" w:hAnsi="Arial" w:cs="Arial"/>
          <w:sz w:val="28"/>
          <w:szCs w:val="28"/>
        </w:rPr>
        <w:t xml:space="preserve"> y 01 de septiembre</w:t>
      </w:r>
      <w:r w:rsidR="00C65080" w:rsidRPr="00FC6482">
        <w:rPr>
          <w:rFonts w:ascii="Arial" w:hAnsi="Arial" w:cs="Arial"/>
          <w:sz w:val="28"/>
          <w:szCs w:val="28"/>
        </w:rPr>
        <w:t xml:space="preserve"> del actual</w:t>
      </w:r>
      <w:r w:rsidR="003D0438">
        <w:rPr>
          <w:rFonts w:ascii="Arial" w:hAnsi="Arial" w:cs="Arial"/>
          <w:sz w:val="28"/>
          <w:szCs w:val="28"/>
        </w:rPr>
        <w:t>.</w:t>
      </w:r>
      <w:r w:rsidR="00011F25" w:rsidRPr="00FC6482">
        <w:rPr>
          <w:rFonts w:ascii="Arial" w:hAnsi="Arial" w:cs="Arial"/>
          <w:sz w:val="28"/>
          <w:szCs w:val="28"/>
        </w:rPr>
        <w:t xml:space="preserve"> </w:t>
      </w:r>
    </w:p>
    <w:p w:rsidR="00FC6482" w:rsidRDefault="00FC6482" w:rsidP="00FC64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A186B" w:rsidRDefault="00D67061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C6482" w:rsidRPr="00FC6482">
        <w:rPr>
          <w:rFonts w:ascii="Arial" w:hAnsi="Arial" w:cs="Arial"/>
          <w:sz w:val="28"/>
          <w:szCs w:val="28"/>
        </w:rPr>
        <w:t>) L</w:t>
      </w:r>
      <w:r w:rsidR="00DA4897">
        <w:rPr>
          <w:rFonts w:ascii="Arial" w:hAnsi="Arial" w:cs="Arial"/>
          <w:sz w:val="28"/>
          <w:szCs w:val="28"/>
        </w:rPr>
        <w:t>a O</w:t>
      </w:r>
      <w:r w:rsidR="00011F25" w:rsidRPr="00721DCB">
        <w:rPr>
          <w:rFonts w:ascii="Arial" w:hAnsi="Arial" w:cs="Arial"/>
          <w:sz w:val="28"/>
          <w:szCs w:val="28"/>
        </w:rPr>
        <w:t>ficia</w:t>
      </w:r>
      <w:r w:rsidR="00DA4897">
        <w:rPr>
          <w:rFonts w:ascii="Arial" w:hAnsi="Arial" w:cs="Arial"/>
          <w:sz w:val="28"/>
          <w:szCs w:val="28"/>
        </w:rPr>
        <w:t>lía M</w:t>
      </w:r>
      <w:r w:rsidR="00011F25" w:rsidRPr="00721DCB">
        <w:rPr>
          <w:rFonts w:ascii="Arial" w:hAnsi="Arial" w:cs="Arial"/>
          <w:sz w:val="28"/>
          <w:szCs w:val="28"/>
        </w:rPr>
        <w:t>ayor</w:t>
      </w:r>
      <w:r w:rsidR="00DA4897">
        <w:rPr>
          <w:rFonts w:ascii="Arial" w:hAnsi="Arial" w:cs="Arial"/>
          <w:sz w:val="28"/>
          <w:szCs w:val="28"/>
        </w:rPr>
        <w:t xml:space="preserve"> del </w:t>
      </w:r>
      <w:r w:rsidR="001C1EA5">
        <w:rPr>
          <w:rFonts w:ascii="Arial" w:hAnsi="Arial" w:cs="Arial"/>
          <w:sz w:val="28"/>
          <w:szCs w:val="28"/>
        </w:rPr>
        <w:t xml:space="preserve">Consejo de la Judicatura del </w:t>
      </w:r>
      <w:r w:rsidR="00DA4897">
        <w:rPr>
          <w:rFonts w:ascii="Arial" w:hAnsi="Arial" w:cs="Arial"/>
          <w:sz w:val="28"/>
          <w:szCs w:val="28"/>
        </w:rPr>
        <w:t>Poder Judicial</w:t>
      </w:r>
      <w:r w:rsidR="00B73739">
        <w:rPr>
          <w:rFonts w:ascii="Arial" w:hAnsi="Arial" w:cs="Arial"/>
          <w:sz w:val="28"/>
          <w:szCs w:val="28"/>
        </w:rPr>
        <w:t>,</w:t>
      </w:r>
      <w:r w:rsidR="00011F25" w:rsidRPr="00721DCB">
        <w:rPr>
          <w:rFonts w:ascii="Arial" w:hAnsi="Arial" w:cs="Arial"/>
          <w:sz w:val="28"/>
          <w:szCs w:val="28"/>
        </w:rPr>
        <w:t xml:space="preserve"> contesta</w:t>
      </w:r>
      <w:r w:rsidR="001C1EA5">
        <w:rPr>
          <w:rFonts w:ascii="Arial" w:hAnsi="Arial" w:cs="Arial"/>
          <w:sz w:val="28"/>
          <w:szCs w:val="28"/>
        </w:rPr>
        <w:t xml:space="preserve"> m</w:t>
      </w:r>
      <w:r w:rsidR="00011F25" w:rsidRPr="00721DCB">
        <w:rPr>
          <w:rFonts w:ascii="Arial" w:hAnsi="Arial" w:cs="Arial"/>
          <w:sz w:val="28"/>
          <w:szCs w:val="28"/>
        </w:rPr>
        <w:t>ediante oficio</w:t>
      </w:r>
      <w:r w:rsidR="00A64A6D">
        <w:rPr>
          <w:rFonts w:ascii="Arial" w:hAnsi="Arial" w:cs="Arial"/>
          <w:sz w:val="28"/>
          <w:szCs w:val="28"/>
        </w:rPr>
        <w:t xml:space="preserve"> número OM-373</w:t>
      </w:r>
      <w:r w:rsidR="00011F25" w:rsidRPr="00721DCB">
        <w:rPr>
          <w:rFonts w:ascii="Arial" w:hAnsi="Arial" w:cs="Arial"/>
          <w:sz w:val="28"/>
          <w:szCs w:val="28"/>
        </w:rPr>
        <w:t xml:space="preserve">/2017, </w:t>
      </w:r>
      <w:r w:rsidR="00B73739">
        <w:rPr>
          <w:rFonts w:ascii="Arial" w:hAnsi="Arial" w:cs="Arial"/>
          <w:sz w:val="28"/>
          <w:szCs w:val="28"/>
        </w:rPr>
        <w:t>adjuntando</w:t>
      </w:r>
      <w:r w:rsidR="00011F25" w:rsidRPr="00721DCB">
        <w:rPr>
          <w:rFonts w:ascii="Arial" w:hAnsi="Arial" w:cs="Arial"/>
          <w:sz w:val="28"/>
          <w:szCs w:val="28"/>
        </w:rPr>
        <w:t xml:space="preserve"> la respuesta emitida por el Departamento de Informática</w:t>
      </w:r>
      <w:r w:rsidR="00E245F6">
        <w:rPr>
          <w:rFonts w:ascii="Arial" w:hAnsi="Arial" w:cs="Arial"/>
          <w:sz w:val="28"/>
          <w:szCs w:val="28"/>
        </w:rPr>
        <w:t xml:space="preserve">, </w:t>
      </w:r>
      <w:r w:rsidR="00B73739">
        <w:rPr>
          <w:rFonts w:ascii="Arial" w:hAnsi="Arial" w:cs="Arial"/>
          <w:sz w:val="28"/>
          <w:szCs w:val="28"/>
        </w:rPr>
        <w:t>con</w:t>
      </w:r>
      <w:r w:rsidR="00A64A6D">
        <w:rPr>
          <w:rFonts w:ascii="Arial" w:hAnsi="Arial" w:cs="Arial"/>
          <w:sz w:val="28"/>
          <w:szCs w:val="28"/>
        </w:rPr>
        <w:t xml:space="preserve"> oficio 113</w:t>
      </w:r>
      <w:r w:rsidR="00E245F6">
        <w:rPr>
          <w:rFonts w:ascii="Arial" w:hAnsi="Arial" w:cs="Arial"/>
          <w:sz w:val="28"/>
          <w:szCs w:val="28"/>
        </w:rPr>
        <w:t>/2017</w:t>
      </w:r>
      <w:r w:rsidR="001C1EA5">
        <w:rPr>
          <w:rFonts w:ascii="Arial" w:hAnsi="Arial" w:cs="Arial"/>
          <w:sz w:val="28"/>
          <w:szCs w:val="28"/>
        </w:rPr>
        <w:t>,</w:t>
      </w:r>
      <w:r w:rsidR="00A64A6D">
        <w:rPr>
          <w:rFonts w:ascii="Arial" w:hAnsi="Arial" w:cs="Arial"/>
          <w:sz w:val="28"/>
          <w:szCs w:val="28"/>
        </w:rPr>
        <w:t xml:space="preserve"> de fecha 31 </w:t>
      </w:r>
      <w:r w:rsidR="00E245F6">
        <w:rPr>
          <w:rFonts w:ascii="Arial" w:hAnsi="Arial" w:cs="Arial"/>
          <w:sz w:val="28"/>
          <w:szCs w:val="28"/>
        </w:rPr>
        <w:t>de agosto</w:t>
      </w:r>
      <w:r w:rsidR="00A64A6D">
        <w:rPr>
          <w:rFonts w:ascii="Arial" w:hAnsi="Arial" w:cs="Arial"/>
          <w:sz w:val="28"/>
          <w:szCs w:val="28"/>
        </w:rPr>
        <w:t xml:space="preserve"> del año en curso</w:t>
      </w:r>
      <w:r w:rsidR="00536862">
        <w:rPr>
          <w:rFonts w:ascii="Arial" w:hAnsi="Arial" w:cs="Arial"/>
          <w:sz w:val="28"/>
          <w:szCs w:val="28"/>
        </w:rPr>
        <w:t xml:space="preserve">, </w:t>
      </w:r>
      <w:r w:rsidR="001C1EA5">
        <w:rPr>
          <w:rFonts w:ascii="Arial" w:hAnsi="Arial" w:cs="Arial"/>
          <w:sz w:val="28"/>
          <w:szCs w:val="28"/>
        </w:rPr>
        <w:t>indicando</w:t>
      </w:r>
      <w:r w:rsidR="00536862">
        <w:rPr>
          <w:rFonts w:ascii="Arial" w:hAnsi="Arial" w:cs="Arial"/>
          <w:sz w:val="28"/>
          <w:szCs w:val="28"/>
        </w:rPr>
        <w:t xml:space="preserve"> la cantidad de expedientes</w:t>
      </w:r>
      <w:r w:rsidR="00011F25" w:rsidRPr="00721DCB">
        <w:rPr>
          <w:rFonts w:ascii="Arial" w:hAnsi="Arial" w:cs="Arial"/>
          <w:sz w:val="28"/>
          <w:szCs w:val="28"/>
        </w:rPr>
        <w:t xml:space="preserve"> registrados en su Sistema Penal</w:t>
      </w:r>
      <w:r w:rsidR="00536862">
        <w:rPr>
          <w:rFonts w:ascii="Arial" w:hAnsi="Arial" w:cs="Arial"/>
          <w:sz w:val="28"/>
          <w:szCs w:val="28"/>
        </w:rPr>
        <w:t xml:space="preserve"> </w:t>
      </w:r>
      <w:r w:rsidR="00B73739">
        <w:rPr>
          <w:rFonts w:ascii="Arial" w:hAnsi="Arial" w:cs="Arial"/>
          <w:sz w:val="28"/>
          <w:szCs w:val="28"/>
        </w:rPr>
        <w:t xml:space="preserve">Tradicional </w:t>
      </w:r>
      <w:r w:rsidR="00536862">
        <w:rPr>
          <w:rFonts w:ascii="Arial" w:hAnsi="Arial" w:cs="Arial"/>
          <w:sz w:val="28"/>
          <w:szCs w:val="28"/>
        </w:rPr>
        <w:t>de Primera Instancia</w:t>
      </w:r>
      <w:r w:rsidR="00011F25" w:rsidRPr="00721DCB">
        <w:rPr>
          <w:rFonts w:ascii="Arial" w:hAnsi="Arial" w:cs="Arial"/>
          <w:sz w:val="28"/>
          <w:szCs w:val="28"/>
        </w:rPr>
        <w:t xml:space="preserve"> </w:t>
      </w:r>
      <w:r w:rsidR="00536862">
        <w:rPr>
          <w:rFonts w:ascii="Arial" w:hAnsi="Arial" w:cs="Arial"/>
          <w:sz w:val="28"/>
          <w:szCs w:val="28"/>
        </w:rPr>
        <w:t>de Mexicali, Tijuana y Ensenada</w:t>
      </w:r>
      <w:r w:rsidR="00B73739">
        <w:rPr>
          <w:rFonts w:ascii="Arial" w:hAnsi="Arial" w:cs="Arial"/>
          <w:sz w:val="28"/>
          <w:szCs w:val="28"/>
        </w:rPr>
        <w:t xml:space="preserve">, </w:t>
      </w:r>
      <w:r w:rsidR="00011F25" w:rsidRPr="00721DCB">
        <w:rPr>
          <w:rFonts w:ascii="Arial" w:hAnsi="Arial" w:cs="Arial"/>
          <w:sz w:val="28"/>
          <w:szCs w:val="28"/>
        </w:rPr>
        <w:t xml:space="preserve">aclarando que no </w:t>
      </w:r>
      <w:r w:rsidR="00AA5F05" w:rsidRPr="00721DCB">
        <w:rPr>
          <w:rFonts w:ascii="Arial" w:hAnsi="Arial" w:cs="Arial"/>
          <w:sz w:val="28"/>
          <w:szCs w:val="28"/>
        </w:rPr>
        <w:t xml:space="preserve">se </w:t>
      </w:r>
      <w:r w:rsidR="00536862">
        <w:rPr>
          <w:rFonts w:ascii="Arial" w:hAnsi="Arial" w:cs="Arial"/>
          <w:sz w:val="28"/>
          <w:szCs w:val="28"/>
        </w:rPr>
        <w:t>cuenta con los datos en forma desagregada</w:t>
      </w:r>
      <w:r w:rsidR="00011F25" w:rsidRPr="00721DCB">
        <w:rPr>
          <w:rFonts w:ascii="Arial" w:hAnsi="Arial" w:cs="Arial"/>
          <w:sz w:val="28"/>
          <w:szCs w:val="28"/>
        </w:rPr>
        <w:t xml:space="preserve"> </w:t>
      </w:r>
      <w:r w:rsidR="00536862">
        <w:rPr>
          <w:rFonts w:ascii="Arial" w:hAnsi="Arial" w:cs="Arial"/>
          <w:sz w:val="28"/>
          <w:szCs w:val="28"/>
        </w:rPr>
        <w:t>por sexo de la víctima, fecha en que ocurrió el delito, fecha en que se tramitó la denu</w:t>
      </w:r>
      <w:r w:rsidR="006B2C5A">
        <w:rPr>
          <w:rFonts w:ascii="Arial" w:hAnsi="Arial" w:cs="Arial"/>
          <w:sz w:val="28"/>
          <w:szCs w:val="28"/>
        </w:rPr>
        <w:t>n</w:t>
      </w:r>
      <w:r w:rsidR="00536862">
        <w:rPr>
          <w:rFonts w:ascii="Arial" w:hAnsi="Arial" w:cs="Arial"/>
          <w:sz w:val="28"/>
          <w:szCs w:val="28"/>
        </w:rPr>
        <w:t>cia</w:t>
      </w:r>
      <w:r w:rsidR="00A64A6D">
        <w:rPr>
          <w:rFonts w:ascii="Arial" w:hAnsi="Arial" w:cs="Arial"/>
          <w:sz w:val="28"/>
          <w:szCs w:val="28"/>
        </w:rPr>
        <w:t>,</w:t>
      </w:r>
      <w:r w:rsidR="006B2C5A">
        <w:rPr>
          <w:rFonts w:ascii="Arial" w:hAnsi="Arial" w:cs="Arial"/>
          <w:sz w:val="28"/>
          <w:szCs w:val="28"/>
        </w:rPr>
        <w:t xml:space="preserve"> estado actual del procedimiento y el motivo de la conclusión</w:t>
      </w:r>
      <w:r w:rsidR="001C1EA5">
        <w:rPr>
          <w:rFonts w:ascii="Arial" w:hAnsi="Arial" w:cs="Arial"/>
          <w:sz w:val="28"/>
          <w:szCs w:val="28"/>
        </w:rPr>
        <w:t>, requeridos por el solicitante</w:t>
      </w:r>
      <w:r w:rsidR="006B2C5A">
        <w:rPr>
          <w:rFonts w:ascii="Arial" w:hAnsi="Arial" w:cs="Arial"/>
          <w:sz w:val="28"/>
          <w:szCs w:val="28"/>
        </w:rPr>
        <w:t xml:space="preserve">. </w:t>
      </w:r>
    </w:p>
    <w:p w:rsidR="00FC6482" w:rsidRPr="00721DCB" w:rsidRDefault="00FC6482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60ECC" w:rsidRPr="00FC6482" w:rsidRDefault="00D67061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C6482">
        <w:rPr>
          <w:rFonts w:ascii="Arial" w:hAnsi="Arial" w:cs="Arial"/>
          <w:sz w:val="28"/>
          <w:szCs w:val="28"/>
        </w:rPr>
        <w:t xml:space="preserve">) </w:t>
      </w:r>
      <w:r w:rsidR="00B36AF1" w:rsidRPr="00FC6482">
        <w:rPr>
          <w:rFonts w:ascii="Arial" w:hAnsi="Arial" w:cs="Arial"/>
          <w:sz w:val="28"/>
          <w:szCs w:val="28"/>
        </w:rPr>
        <w:t>Vista la respuesta dada por el Departamento de Informática</w:t>
      </w:r>
      <w:r w:rsidR="006B2C5A" w:rsidRPr="00FC6482">
        <w:rPr>
          <w:rFonts w:ascii="Arial" w:hAnsi="Arial" w:cs="Arial"/>
          <w:sz w:val="28"/>
          <w:szCs w:val="28"/>
        </w:rPr>
        <w:t xml:space="preserve"> de la Oficialía Mayor del Consejo de la Judicat</w:t>
      </w:r>
      <w:r w:rsidR="00CA114B" w:rsidRPr="00FC6482">
        <w:rPr>
          <w:rFonts w:ascii="Arial" w:hAnsi="Arial" w:cs="Arial"/>
          <w:sz w:val="28"/>
          <w:szCs w:val="28"/>
        </w:rPr>
        <w:t>ura</w:t>
      </w:r>
      <w:r w:rsidR="004A186B" w:rsidRPr="00FC6482">
        <w:rPr>
          <w:rFonts w:ascii="Arial" w:hAnsi="Arial" w:cs="Arial"/>
          <w:sz w:val="28"/>
          <w:szCs w:val="28"/>
        </w:rPr>
        <w:t xml:space="preserve">, </w:t>
      </w:r>
      <w:r w:rsidR="009C7DF0" w:rsidRPr="00FC6482">
        <w:rPr>
          <w:rFonts w:ascii="Arial" w:hAnsi="Arial" w:cs="Arial"/>
          <w:sz w:val="28"/>
          <w:szCs w:val="28"/>
        </w:rPr>
        <w:t>ante la omisión de datos en</w:t>
      </w:r>
      <w:r w:rsidR="00B73739">
        <w:rPr>
          <w:rFonts w:ascii="Arial" w:hAnsi="Arial" w:cs="Arial"/>
          <w:sz w:val="28"/>
          <w:szCs w:val="28"/>
        </w:rPr>
        <w:t xml:space="preserve"> el sistema informático y que só</w:t>
      </w:r>
      <w:r w:rsidR="009C7DF0" w:rsidRPr="00FC6482">
        <w:rPr>
          <w:rFonts w:ascii="Arial" w:hAnsi="Arial" w:cs="Arial"/>
          <w:sz w:val="28"/>
          <w:szCs w:val="28"/>
        </w:rPr>
        <w:t xml:space="preserve">lo incluyen los </w:t>
      </w:r>
      <w:r w:rsidR="00B73739" w:rsidRPr="00FC6482">
        <w:rPr>
          <w:rFonts w:ascii="Arial" w:hAnsi="Arial" w:cs="Arial"/>
          <w:sz w:val="28"/>
          <w:szCs w:val="28"/>
        </w:rPr>
        <w:t xml:space="preserve">Partidos Judiciales </w:t>
      </w:r>
      <w:r w:rsidR="009C7DF0" w:rsidRPr="00FC6482">
        <w:rPr>
          <w:rFonts w:ascii="Arial" w:hAnsi="Arial" w:cs="Arial"/>
          <w:sz w:val="28"/>
          <w:szCs w:val="28"/>
        </w:rPr>
        <w:t>de Mexicali, Tijuana y Ensenada,</w:t>
      </w:r>
      <w:r w:rsidR="003A6B30">
        <w:rPr>
          <w:rFonts w:ascii="Arial" w:hAnsi="Arial" w:cs="Arial"/>
          <w:sz w:val="28"/>
          <w:szCs w:val="28"/>
        </w:rPr>
        <w:t xml:space="preserve"> </w:t>
      </w:r>
      <w:r w:rsidR="004A186B" w:rsidRPr="00FC6482">
        <w:rPr>
          <w:rFonts w:ascii="Arial" w:hAnsi="Arial" w:cs="Arial"/>
          <w:sz w:val="28"/>
          <w:szCs w:val="28"/>
        </w:rPr>
        <w:t xml:space="preserve">la Unidad de Transparencia solicita al Comité, que con fundamento en lo dispuesto en el artículo 54 fracción II, </w:t>
      </w:r>
      <w:r w:rsidR="004A186B" w:rsidRPr="00FC6482">
        <w:rPr>
          <w:rFonts w:ascii="Arial" w:hAnsi="Arial" w:cs="Arial"/>
          <w:b/>
          <w:sz w:val="28"/>
          <w:szCs w:val="28"/>
        </w:rPr>
        <w:t xml:space="preserve">autorice la ampliación del plazo para </w:t>
      </w:r>
      <w:r w:rsidR="00B73739">
        <w:rPr>
          <w:rFonts w:ascii="Arial" w:hAnsi="Arial" w:cs="Arial"/>
          <w:b/>
          <w:sz w:val="28"/>
          <w:szCs w:val="28"/>
        </w:rPr>
        <w:t>d</w:t>
      </w:r>
      <w:r w:rsidR="004A186B" w:rsidRPr="00FC6482">
        <w:rPr>
          <w:rFonts w:ascii="Arial" w:hAnsi="Arial" w:cs="Arial"/>
          <w:b/>
          <w:sz w:val="28"/>
          <w:szCs w:val="28"/>
        </w:rPr>
        <w:t>a</w:t>
      </w:r>
      <w:r w:rsidR="00B73739">
        <w:rPr>
          <w:rFonts w:ascii="Arial" w:hAnsi="Arial" w:cs="Arial"/>
          <w:b/>
          <w:sz w:val="28"/>
          <w:szCs w:val="28"/>
        </w:rPr>
        <w:t>r</w:t>
      </w:r>
      <w:r w:rsidR="004A186B" w:rsidRPr="00FC6482">
        <w:rPr>
          <w:rFonts w:ascii="Arial" w:hAnsi="Arial" w:cs="Arial"/>
          <w:b/>
          <w:sz w:val="28"/>
          <w:szCs w:val="28"/>
        </w:rPr>
        <w:t xml:space="preserve"> respuesta, hasta por otros diez días más</w:t>
      </w:r>
      <w:r w:rsidR="004A186B" w:rsidRPr="00FC6482">
        <w:rPr>
          <w:rFonts w:ascii="Arial" w:hAnsi="Arial" w:cs="Arial"/>
          <w:sz w:val="28"/>
          <w:szCs w:val="28"/>
        </w:rPr>
        <w:t xml:space="preserve">, de conformidad al artículo 125 de la Ley de la Materia, </w:t>
      </w:r>
      <w:r w:rsidR="009C7DF0" w:rsidRPr="00FC6482">
        <w:rPr>
          <w:rFonts w:ascii="Arial" w:hAnsi="Arial" w:cs="Arial"/>
          <w:b/>
          <w:sz w:val="28"/>
          <w:szCs w:val="28"/>
        </w:rPr>
        <w:t>a fin de ampliar la búsqueda de la información pública requerida</w:t>
      </w:r>
      <w:r w:rsidR="009C7DF0" w:rsidRPr="00FC6482">
        <w:rPr>
          <w:rFonts w:ascii="Arial" w:hAnsi="Arial" w:cs="Arial"/>
          <w:sz w:val="28"/>
          <w:szCs w:val="28"/>
        </w:rPr>
        <w:t>, que se encuentre disponible en los diversos órganos jurisdiccionales competentes del Poder Judicial, a quienes para mayor facilidad en su búsqueda de información, se les entregará</w:t>
      </w:r>
      <w:r w:rsidR="00C73998">
        <w:rPr>
          <w:rFonts w:ascii="Arial" w:hAnsi="Arial" w:cs="Arial"/>
          <w:sz w:val="28"/>
          <w:szCs w:val="28"/>
        </w:rPr>
        <w:t>n</w:t>
      </w:r>
      <w:r w:rsidR="009C7DF0" w:rsidRPr="00FC6482">
        <w:rPr>
          <w:rFonts w:ascii="Arial" w:hAnsi="Arial" w:cs="Arial"/>
          <w:sz w:val="28"/>
          <w:szCs w:val="28"/>
        </w:rPr>
        <w:t xml:space="preserve"> los datos obtenidos del Departamento de Informática, relativos a los números de expedientes registrados en el periodo indicado, por los delitos de </w:t>
      </w:r>
      <w:r w:rsidR="009C7DF0" w:rsidRPr="00FC6482">
        <w:rPr>
          <w:rFonts w:ascii="Arial" w:hAnsi="Arial" w:cs="Arial"/>
          <w:sz w:val="28"/>
          <w:szCs w:val="28"/>
        </w:rPr>
        <w:lastRenderedPageBreak/>
        <w:t xml:space="preserve">interés del peticionario, que a cada órgano corresponda. Lo anterior encuentra sustento, además, </w:t>
      </w:r>
      <w:r w:rsidR="004A186B" w:rsidRPr="00FC6482">
        <w:rPr>
          <w:rFonts w:ascii="Arial" w:hAnsi="Arial" w:cs="Arial"/>
          <w:sz w:val="28"/>
          <w:szCs w:val="28"/>
        </w:rPr>
        <w:t xml:space="preserve">en los siguientes numerales de la Ley de transparencia multicitada, </w:t>
      </w:r>
      <w:r w:rsidR="00760ECC" w:rsidRPr="00FC6482">
        <w:rPr>
          <w:rFonts w:ascii="Arial" w:hAnsi="Arial" w:cs="Arial"/>
          <w:sz w:val="28"/>
          <w:szCs w:val="28"/>
        </w:rPr>
        <w:t>que a continuación se transcriben:</w:t>
      </w:r>
    </w:p>
    <w:p w:rsidR="00C73998" w:rsidRPr="00C73998" w:rsidRDefault="00C73998" w:rsidP="00FC6482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760ECC" w:rsidRDefault="00760ECC" w:rsidP="00FC648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Artículo 12. Los sujetos obligados deberán documentar todo acto que derive del ejercicio de sus facultades, competencias o funciones</w:t>
      </w:r>
      <w:r w:rsidRPr="00721DCB">
        <w:rPr>
          <w:rFonts w:ascii="Arial" w:hAnsi="Arial" w:cs="Arial"/>
          <w:sz w:val="28"/>
          <w:szCs w:val="28"/>
        </w:rPr>
        <w:t>.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C73998" w:rsidRDefault="00760ECC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 xml:space="preserve">Artículo 13.- Se presume que la información debe existir si se refiere a las facultades, competencias y funciones que los ordenamientos jurídicos aplicables otorgan a los sujetos obligados. </w:t>
      </w:r>
    </w:p>
    <w:p w:rsidR="00760ECC" w:rsidRDefault="00760ECC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En los casos en que algunas facultades, competencias o funciones no se hayan ejercido, se debe motivar la respuesta en función de las causas que motiven la inexistencia.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440C79" w:rsidRDefault="00440C79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Artículo 56.- Los sujetos obligados designarán al respon</w:t>
      </w:r>
      <w:r w:rsidR="00FC6482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able de la Unidad de Transparencia que tendrá las siguientes funciones: (…)</w:t>
      </w:r>
      <w:r w:rsidR="00FC648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II.- Recibir y dar trámite a las solicitudes de acceso a la información (…)</w:t>
      </w:r>
      <w:r w:rsidR="00FC648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IV.- Realizar los trámites internos necesarios para la atención de las solicitudes de acceso a la informació</w:t>
      </w:r>
      <w:r w:rsidR="00FC6482">
        <w:rPr>
          <w:rFonts w:ascii="Arial" w:hAnsi="Arial" w:cs="Arial"/>
          <w:i/>
          <w:sz w:val="28"/>
          <w:szCs w:val="28"/>
        </w:rPr>
        <w:t xml:space="preserve">n. </w:t>
      </w:r>
    </w:p>
    <w:p w:rsidR="00440C79" w:rsidRPr="00C73998" w:rsidRDefault="00440C79" w:rsidP="00C73998">
      <w:pPr>
        <w:spacing w:after="0" w:line="360" w:lineRule="auto"/>
        <w:jc w:val="both"/>
        <w:rPr>
          <w:rFonts w:ascii="Arial" w:hAnsi="Arial" w:cs="Arial"/>
          <w:i/>
          <w:sz w:val="16"/>
          <w:szCs w:val="20"/>
        </w:rPr>
      </w:pPr>
    </w:p>
    <w:p w:rsidR="00440C79" w:rsidRDefault="00440C79" w:rsidP="00FC6482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Artículo 124.- Las unidades de Transparencia deberán garantizar que las solicitudes se turnen a todas las Áreas competentes que cuenten con la información o deban tenerla de acuerdo a sus facultades, competencias y funciones, con el objeto de que realicen una búsqueda exhaustiva y razonable de la información solicitada.</w:t>
      </w:r>
    </w:p>
    <w:p w:rsidR="004A186B" w:rsidRPr="00C73998" w:rsidRDefault="004A186B" w:rsidP="00C73998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4A186B" w:rsidRPr="003A6B30" w:rsidRDefault="00865FC6" w:rsidP="003A6B30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Así mismo, habrá de considerarse q</w:t>
      </w:r>
      <w:r w:rsidR="004A186B" w:rsidRPr="003A6B30">
        <w:rPr>
          <w:rFonts w:ascii="Arial" w:hAnsi="Arial" w:cs="Arial"/>
          <w:sz w:val="28"/>
          <w:szCs w:val="28"/>
        </w:rPr>
        <w:t xml:space="preserve">ue la información solicitada es pública y debe ser difundida a través del Portal de </w:t>
      </w:r>
      <w:r w:rsidR="00884C06" w:rsidRPr="003A6B30">
        <w:rPr>
          <w:rFonts w:ascii="Arial" w:hAnsi="Arial" w:cs="Arial"/>
          <w:sz w:val="28"/>
          <w:szCs w:val="28"/>
        </w:rPr>
        <w:t xml:space="preserve">Obligaciones </w:t>
      </w:r>
      <w:r w:rsidR="004A186B" w:rsidRPr="003A6B30">
        <w:rPr>
          <w:rFonts w:ascii="Arial" w:hAnsi="Arial" w:cs="Arial"/>
          <w:sz w:val="28"/>
          <w:szCs w:val="28"/>
        </w:rPr>
        <w:t xml:space="preserve">de </w:t>
      </w:r>
      <w:r w:rsidR="00884C06" w:rsidRPr="003A6B30">
        <w:rPr>
          <w:rFonts w:ascii="Arial" w:hAnsi="Arial" w:cs="Arial"/>
          <w:sz w:val="28"/>
          <w:szCs w:val="28"/>
        </w:rPr>
        <w:lastRenderedPageBreak/>
        <w:t xml:space="preserve">Transparencia </w:t>
      </w:r>
      <w:r w:rsidR="004A186B" w:rsidRPr="003A6B30">
        <w:rPr>
          <w:rFonts w:ascii="Arial" w:hAnsi="Arial" w:cs="Arial"/>
          <w:sz w:val="28"/>
          <w:szCs w:val="28"/>
        </w:rPr>
        <w:t xml:space="preserve">y </w:t>
      </w:r>
      <w:r w:rsidR="00884C06" w:rsidRPr="003A6B30">
        <w:rPr>
          <w:rFonts w:ascii="Arial" w:hAnsi="Arial" w:cs="Arial"/>
          <w:sz w:val="28"/>
          <w:szCs w:val="28"/>
        </w:rPr>
        <w:t xml:space="preserve">en la </w:t>
      </w:r>
      <w:r w:rsidR="004A186B" w:rsidRPr="003A6B30">
        <w:rPr>
          <w:rFonts w:ascii="Arial" w:hAnsi="Arial" w:cs="Arial"/>
          <w:sz w:val="28"/>
          <w:szCs w:val="28"/>
        </w:rPr>
        <w:t>Plataforma Nacional</w:t>
      </w:r>
      <w:r w:rsidR="00884C06" w:rsidRPr="003A6B30">
        <w:rPr>
          <w:rFonts w:ascii="Arial" w:hAnsi="Arial" w:cs="Arial"/>
          <w:sz w:val="28"/>
          <w:szCs w:val="28"/>
        </w:rPr>
        <w:t xml:space="preserve"> de Transparencia</w:t>
      </w:r>
      <w:r w:rsidR="004A186B" w:rsidRPr="003A6B30">
        <w:rPr>
          <w:rFonts w:ascii="Arial" w:hAnsi="Arial" w:cs="Arial"/>
          <w:sz w:val="28"/>
          <w:szCs w:val="28"/>
        </w:rPr>
        <w:t xml:space="preserve">, como se dispone en el artículo 83 de la Ley de la materia que dice: </w:t>
      </w:r>
      <w:r w:rsidR="003A6B30">
        <w:rPr>
          <w:rFonts w:ascii="Arial" w:hAnsi="Arial" w:cs="Arial"/>
          <w:sz w:val="28"/>
          <w:szCs w:val="28"/>
        </w:rPr>
        <w:t>“</w:t>
      </w:r>
      <w:r w:rsidR="004A186B" w:rsidRPr="003A6B30">
        <w:rPr>
          <w:rFonts w:ascii="Arial" w:hAnsi="Arial" w:cs="Arial"/>
          <w:i/>
          <w:sz w:val="28"/>
          <w:szCs w:val="28"/>
        </w:rPr>
        <w:t>Además de lo señalado en el artículo anterior, los sujetos obligados deberán publicar y actualizar en sus portales de internet, la siguiente información:</w:t>
      </w:r>
    </w:p>
    <w:p w:rsidR="004A186B" w:rsidRPr="00721DCB" w:rsidRDefault="004A186B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(…)</w:t>
      </w:r>
    </w:p>
    <w:p w:rsidR="004A186B" w:rsidRPr="00721DCB" w:rsidRDefault="004A186B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III.- Poder Judicial.</w:t>
      </w:r>
    </w:p>
    <w:p w:rsidR="003A6B30" w:rsidRPr="00721DCB" w:rsidRDefault="003A6B30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 w:rsidRPr="00721DCB">
        <w:rPr>
          <w:rFonts w:ascii="Arial" w:hAnsi="Arial" w:cs="Arial"/>
          <w:i/>
          <w:sz w:val="28"/>
          <w:szCs w:val="28"/>
        </w:rPr>
        <w:t>(…)</w:t>
      </w:r>
    </w:p>
    <w:p w:rsidR="004A186B" w:rsidRDefault="003A6B30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f)</w:t>
      </w:r>
      <w:r w:rsidR="00C73998">
        <w:rPr>
          <w:rFonts w:ascii="Arial" w:hAnsi="Arial" w:cs="Arial"/>
          <w:i/>
          <w:sz w:val="28"/>
          <w:szCs w:val="28"/>
        </w:rPr>
        <w:t>.-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4A186B" w:rsidRPr="00721DCB">
        <w:rPr>
          <w:rFonts w:ascii="Arial" w:hAnsi="Arial" w:cs="Arial"/>
          <w:i/>
          <w:sz w:val="28"/>
          <w:szCs w:val="28"/>
        </w:rPr>
        <w:t xml:space="preserve">Los datos estadísticos relativos al desempeño de los órganos jurisdiccionales y el Consejo de la Judicatura. Los principales indicadores sobre la actividad jurisdiccional deberán incluir, al menos, </w:t>
      </w:r>
      <w:r w:rsidR="004A186B" w:rsidRPr="001C1EA5">
        <w:rPr>
          <w:rFonts w:ascii="Arial" w:hAnsi="Arial" w:cs="Arial"/>
          <w:i/>
          <w:sz w:val="28"/>
          <w:szCs w:val="28"/>
          <w:u w:val="single"/>
        </w:rPr>
        <w:t>asuntos radicados, concluidos y en trámite</w:t>
      </w:r>
      <w:r w:rsidR="004A186B" w:rsidRPr="00721DCB">
        <w:rPr>
          <w:rFonts w:ascii="Arial" w:hAnsi="Arial" w:cs="Arial"/>
          <w:i/>
          <w:sz w:val="28"/>
          <w:szCs w:val="28"/>
        </w:rPr>
        <w:t xml:space="preserve">, de primera y segunda instancia, </w:t>
      </w:r>
      <w:r w:rsidR="004A186B" w:rsidRPr="00721DCB">
        <w:rPr>
          <w:rFonts w:ascii="Arial" w:hAnsi="Arial" w:cs="Arial"/>
          <w:i/>
          <w:sz w:val="28"/>
          <w:szCs w:val="28"/>
          <w:u w:val="single"/>
        </w:rPr>
        <w:t>indicando el sentido de la resolución</w:t>
      </w:r>
      <w:r>
        <w:rPr>
          <w:rFonts w:ascii="Arial" w:hAnsi="Arial" w:cs="Arial"/>
          <w:i/>
          <w:sz w:val="28"/>
          <w:szCs w:val="28"/>
        </w:rPr>
        <w:t>“.</w:t>
      </w:r>
    </w:p>
    <w:p w:rsidR="00C73998" w:rsidRDefault="00C73998" w:rsidP="003A6B30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AD66D5" w:rsidRPr="00721DCB" w:rsidRDefault="00AA507B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C7DF0">
        <w:rPr>
          <w:rFonts w:ascii="Arial" w:hAnsi="Arial" w:cs="Arial"/>
          <w:b/>
          <w:sz w:val="28"/>
          <w:szCs w:val="28"/>
        </w:rPr>
        <w:t>Los integrantes del Comité con voto, ACUERDAN que d</w:t>
      </w:r>
      <w:r w:rsidR="00B710F0" w:rsidRPr="009C7DF0">
        <w:rPr>
          <w:rFonts w:ascii="Arial" w:hAnsi="Arial" w:cs="Arial"/>
          <w:b/>
          <w:sz w:val="28"/>
          <w:szCs w:val="28"/>
        </w:rPr>
        <w:t>adas las razones</w:t>
      </w:r>
      <w:r w:rsidR="009E2AB0" w:rsidRPr="009C7DF0">
        <w:rPr>
          <w:rFonts w:ascii="Arial" w:hAnsi="Arial" w:cs="Arial"/>
          <w:b/>
          <w:sz w:val="28"/>
          <w:szCs w:val="28"/>
        </w:rPr>
        <w:t xml:space="preserve"> y circunstancias que motivan la solicitud de ampliación de plazo,</w:t>
      </w:r>
      <w:r w:rsidRPr="00721DCB">
        <w:rPr>
          <w:rFonts w:ascii="Arial" w:hAnsi="Arial" w:cs="Arial"/>
          <w:sz w:val="28"/>
          <w:szCs w:val="28"/>
        </w:rPr>
        <w:t xml:space="preserve"> las que se </w:t>
      </w:r>
      <w:r w:rsidR="009E2AB0" w:rsidRPr="00721DCB">
        <w:rPr>
          <w:rFonts w:ascii="Arial" w:hAnsi="Arial" w:cs="Arial"/>
          <w:sz w:val="28"/>
          <w:szCs w:val="28"/>
        </w:rPr>
        <w:t>considera</w:t>
      </w:r>
      <w:r w:rsidRPr="00721DCB">
        <w:rPr>
          <w:rFonts w:ascii="Arial" w:hAnsi="Arial" w:cs="Arial"/>
          <w:sz w:val="28"/>
          <w:szCs w:val="28"/>
        </w:rPr>
        <w:t xml:space="preserve">n </w:t>
      </w:r>
      <w:r w:rsidR="009E2AB0" w:rsidRPr="00721DCB">
        <w:rPr>
          <w:rFonts w:ascii="Arial" w:hAnsi="Arial" w:cs="Arial"/>
          <w:sz w:val="28"/>
          <w:szCs w:val="28"/>
        </w:rPr>
        <w:t xml:space="preserve">suficientes </w:t>
      </w:r>
      <w:r w:rsidRPr="00721DCB">
        <w:rPr>
          <w:rFonts w:ascii="Arial" w:hAnsi="Arial" w:cs="Arial"/>
          <w:sz w:val="28"/>
          <w:szCs w:val="28"/>
        </w:rPr>
        <w:t>y justificadas</w:t>
      </w:r>
      <w:r w:rsidR="009E2AB0" w:rsidRPr="00721DCB">
        <w:rPr>
          <w:rFonts w:ascii="Arial" w:hAnsi="Arial" w:cs="Arial"/>
          <w:sz w:val="28"/>
          <w:szCs w:val="28"/>
        </w:rPr>
        <w:t xml:space="preserve">, ajustándose a lo establecido por </w:t>
      </w:r>
      <w:r w:rsidR="000929A8" w:rsidRPr="00721DCB">
        <w:rPr>
          <w:rFonts w:ascii="Arial" w:hAnsi="Arial" w:cs="Arial"/>
          <w:sz w:val="28"/>
          <w:szCs w:val="28"/>
        </w:rPr>
        <w:t>el artículo 125 de la Ley de la mat</w:t>
      </w:r>
      <w:r w:rsidR="00A06677" w:rsidRPr="00721DCB">
        <w:rPr>
          <w:rFonts w:ascii="Arial" w:hAnsi="Arial" w:cs="Arial"/>
          <w:sz w:val="28"/>
          <w:szCs w:val="28"/>
        </w:rPr>
        <w:t>e</w:t>
      </w:r>
      <w:r w:rsidR="000929A8" w:rsidRPr="00721DCB">
        <w:rPr>
          <w:rFonts w:ascii="Arial" w:hAnsi="Arial" w:cs="Arial"/>
          <w:sz w:val="28"/>
          <w:szCs w:val="28"/>
        </w:rPr>
        <w:t xml:space="preserve">ria, </w:t>
      </w:r>
      <w:r w:rsidR="009E2AB0" w:rsidRPr="00721DCB">
        <w:rPr>
          <w:rFonts w:ascii="Arial" w:hAnsi="Arial" w:cs="Arial"/>
          <w:sz w:val="28"/>
          <w:szCs w:val="28"/>
        </w:rPr>
        <w:t xml:space="preserve">que reza: </w:t>
      </w:r>
      <w:r w:rsidR="00A06677" w:rsidRPr="00721DCB">
        <w:rPr>
          <w:rFonts w:ascii="Arial" w:hAnsi="Arial" w:cs="Arial"/>
          <w:i/>
          <w:sz w:val="28"/>
          <w:szCs w:val="28"/>
        </w:rPr>
        <w:t xml:space="preserve">“La respuesta a la solicitud deberá ser notificada al interesado en el menor tiempo posible, que no podrá exceder de </w:t>
      </w:r>
      <w:r w:rsidR="00C73998" w:rsidRPr="00C73998">
        <w:rPr>
          <w:rFonts w:ascii="Arial" w:hAnsi="Arial" w:cs="Arial"/>
          <w:i/>
          <w:sz w:val="28"/>
          <w:szCs w:val="28"/>
        </w:rPr>
        <w:t xml:space="preserve">diez </w:t>
      </w:r>
      <w:r w:rsidR="00A06677" w:rsidRPr="00721DCB">
        <w:rPr>
          <w:rFonts w:ascii="Arial" w:hAnsi="Arial" w:cs="Arial"/>
          <w:i/>
          <w:sz w:val="28"/>
          <w:szCs w:val="28"/>
        </w:rPr>
        <w:t>días, contados a partir del día siguiente a la presentación de aqu</w:t>
      </w:r>
      <w:r w:rsidR="00C73998">
        <w:rPr>
          <w:rFonts w:ascii="Arial" w:hAnsi="Arial" w:cs="Arial"/>
          <w:i/>
          <w:sz w:val="28"/>
          <w:szCs w:val="28"/>
        </w:rPr>
        <w:t>é</w:t>
      </w:r>
      <w:r w:rsidR="00A06677" w:rsidRPr="00721DCB">
        <w:rPr>
          <w:rFonts w:ascii="Arial" w:hAnsi="Arial" w:cs="Arial"/>
          <w:i/>
          <w:sz w:val="28"/>
          <w:szCs w:val="28"/>
        </w:rPr>
        <w:t xml:space="preserve"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 </w:t>
      </w:r>
      <w:r w:rsidR="003B1664" w:rsidRPr="009C7DF0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E2AB0" w:rsidRPr="009C7DF0">
        <w:rPr>
          <w:rFonts w:ascii="Arial" w:hAnsi="Arial" w:cs="Arial"/>
          <w:b/>
          <w:sz w:val="28"/>
          <w:szCs w:val="28"/>
        </w:rPr>
        <w:t xml:space="preserve"> hasta por diez días </w:t>
      </w:r>
      <w:r w:rsidR="009E2AB0" w:rsidRPr="009C7DF0">
        <w:rPr>
          <w:rFonts w:ascii="Arial" w:hAnsi="Arial" w:cs="Arial"/>
          <w:b/>
          <w:sz w:val="28"/>
          <w:szCs w:val="28"/>
        </w:rPr>
        <w:lastRenderedPageBreak/>
        <w:t>más</w:t>
      </w:r>
      <w:r w:rsidR="003B1664" w:rsidRPr="009C7DF0">
        <w:rPr>
          <w:rFonts w:ascii="Arial" w:hAnsi="Arial" w:cs="Arial"/>
          <w:b/>
          <w:sz w:val="28"/>
          <w:szCs w:val="28"/>
        </w:rPr>
        <w:t xml:space="preserve">. </w:t>
      </w:r>
      <w:r w:rsidR="003B1664" w:rsidRPr="00721DCB">
        <w:rPr>
          <w:rFonts w:ascii="Arial" w:hAnsi="Arial" w:cs="Arial"/>
          <w:sz w:val="28"/>
          <w:szCs w:val="28"/>
        </w:rPr>
        <w:t xml:space="preserve">En consecuencia, </w:t>
      </w:r>
      <w:r w:rsidR="004F3FFF" w:rsidRPr="00721DCB">
        <w:rPr>
          <w:rFonts w:ascii="Arial" w:hAnsi="Arial" w:cs="Arial"/>
          <w:sz w:val="28"/>
          <w:szCs w:val="28"/>
        </w:rPr>
        <w:t xml:space="preserve">la resolución anterior </w:t>
      </w:r>
      <w:r w:rsidRPr="00721DCB">
        <w:rPr>
          <w:rFonts w:ascii="Arial" w:hAnsi="Arial" w:cs="Arial"/>
          <w:sz w:val="28"/>
          <w:szCs w:val="28"/>
        </w:rPr>
        <w:t xml:space="preserve">queda notificada en este acto a </w:t>
      </w:r>
      <w:r w:rsidR="003B1664" w:rsidRPr="00721DCB">
        <w:rPr>
          <w:rFonts w:ascii="Arial" w:hAnsi="Arial" w:cs="Arial"/>
          <w:sz w:val="28"/>
          <w:szCs w:val="28"/>
        </w:rPr>
        <w:t>la Unidad de Transparencia, para su conocimiento</w:t>
      </w:r>
      <w:r w:rsidRPr="00721DCB">
        <w:rPr>
          <w:rFonts w:ascii="Arial" w:hAnsi="Arial" w:cs="Arial"/>
          <w:sz w:val="28"/>
          <w:szCs w:val="28"/>
        </w:rPr>
        <w:t xml:space="preserve"> y fines legales procedentes, debiendo por su conducto, n</w:t>
      </w:r>
      <w:r w:rsidR="003C539A" w:rsidRPr="00721DCB">
        <w:rPr>
          <w:rFonts w:ascii="Arial" w:hAnsi="Arial" w:cs="Arial"/>
          <w:sz w:val="28"/>
          <w:szCs w:val="28"/>
        </w:rPr>
        <w:t>otif</w:t>
      </w:r>
      <w:r w:rsidRPr="00721DCB">
        <w:rPr>
          <w:rFonts w:ascii="Arial" w:hAnsi="Arial" w:cs="Arial"/>
          <w:sz w:val="28"/>
          <w:szCs w:val="28"/>
        </w:rPr>
        <w:t xml:space="preserve">icar </w:t>
      </w:r>
      <w:r w:rsidR="00A16237" w:rsidRPr="00721DCB">
        <w:rPr>
          <w:rFonts w:ascii="Arial" w:hAnsi="Arial" w:cs="Arial"/>
          <w:sz w:val="28"/>
          <w:szCs w:val="28"/>
        </w:rPr>
        <w:t>esta resolución al solicitante, de conformidad a la ley de la materia</w:t>
      </w:r>
      <w:r w:rsidR="00884284" w:rsidRPr="00721DCB">
        <w:rPr>
          <w:rFonts w:ascii="Arial" w:hAnsi="Arial" w:cs="Arial"/>
          <w:sz w:val="28"/>
          <w:szCs w:val="28"/>
        </w:rPr>
        <w:t>.</w:t>
      </w:r>
    </w:p>
    <w:p w:rsidR="00E517EF" w:rsidRDefault="00E517EF" w:rsidP="00C7399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721DCB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9E2AB0" w:rsidRPr="00721DCB">
        <w:rPr>
          <w:rFonts w:ascii="Arial" w:hAnsi="Arial" w:cs="Arial"/>
          <w:sz w:val="28"/>
          <w:szCs w:val="28"/>
        </w:rPr>
        <w:t>catorce</w:t>
      </w:r>
      <w:r w:rsidRPr="00721DCB">
        <w:rPr>
          <w:rFonts w:ascii="Arial" w:hAnsi="Arial" w:cs="Arial"/>
          <w:sz w:val="28"/>
          <w:szCs w:val="28"/>
        </w:rPr>
        <w:t xml:space="preserve"> horas del día</w:t>
      </w:r>
      <w:r w:rsidR="00865FC6">
        <w:rPr>
          <w:rFonts w:ascii="Arial" w:hAnsi="Arial" w:cs="Arial"/>
          <w:sz w:val="28"/>
          <w:szCs w:val="28"/>
        </w:rPr>
        <w:t xml:space="preserve"> cinco</w:t>
      </w:r>
      <w:r w:rsidR="00AA507B" w:rsidRPr="00721DCB">
        <w:rPr>
          <w:rFonts w:ascii="Arial" w:hAnsi="Arial" w:cs="Arial"/>
          <w:sz w:val="28"/>
          <w:szCs w:val="28"/>
        </w:rPr>
        <w:t xml:space="preserve"> </w:t>
      </w:r>
      <w:r w:rsidRPr="00721DCB">
        <w:rPr>
          <w:rFonts w:ascii="Arial" w:hAnsi="Arial" w:cs="Arial"/>
          <w:sz w:val="28"/>
          <w:szCs w:val="28"/>
        </w:rPr>
        <w:t xml:space="preserve">de </w:t>
      </w:r>
      <w:r w:rsidR="00171F27">
        <w:rPr>
          <w:rFonts w:ascii="Arial" w:hAnsi="Arial" w:cs="Arial"/>
          <w:sz w:val="28"/>
          <w:szCs w:val="28"/>
        </w:rPr>
        <w:t>septiembre</w:t>
      </w:r>
      <w:r w:rsidRPr="00721DCB">
        <w:rPr>
          <w:rFonts w:ascii="Arial" w:hAnsi="Arial" w:cs="Arial"/>
          <w:sz w:val="28"/>
          <w:szCs w:val="28"/>
        </w:rPr>
        <w:t xml:space="preserve"> de 2017.</w:t>
      </w:r>
    </w:p>
    <w:p w:rsidR="00561CDE" w:rsidRPr="00721DCB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Default="00FF4873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1455" w:rsidRDefault="00B8145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1455" w:rsidRDefault="00B8145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63A6" w:rsidRPr="00721DCB" w:rsidRDefault="00EF63A6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721DCB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721DCB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721DC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721DCB">
        <w:rPr>
          <w:rFonts w:ascii="Arial" w:hAnsi="Arial" w:cs="Arial"/>
          <w:bCs/>
          <w:sz w:val="28"/>
          <w:szCs w:val="28"/>
        </w:rPr>
        <w:t xml:space="preserve"> </w:t>
      </w: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884C06" w:rsidRPr="00721DCB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Pr="00721DCB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884C06" w:rsidRDefault="00884C06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884C0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F4873" w:rsidRPr="00721DCB" w:rsidRDefault="00FF4873" w:rsidP="00FF4873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D0438" w:rsidRPr="00721DCB" w:rsidRDefault="003D0438" w:rsidP="003D043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721DC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3D0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1DCB">
        <w:rPr>
          <w:rFonts w:ascii="Arial" w:hAnsi="Arial" w:cs="Arial"/>
          <w:bCs/>
          <w:sz w:val="28"/>
          <w:szCs w:val="28"/>
        </w:rPr>
        <w:t>Secretaria del Comité</w:t>
      </w: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A0" w:rsidRDefault="00EA07A0" w:rsidP="00BB457C">
      <w:pPr>
        <w:spacing w:after="0" w:line="240" w:lineRule="auto"/>
      </w:pPr>
      <w:r>
        <w:separator/>
      </w:r>
    </w:p>
  </w:endnote>
  <w:endnote w:type="continuationSeparator" w:id="0">
    <w:p w:rsidR="00EA07A0" w:rsidRDefault="00EA07A0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2A17B7">
            <w:rPr>
              <w:rFonts w:ascii="Arial" w:hAnsi="Arial" w:cs="Arial"/>
              <w:sz w:val="24"/>
            </w:rPr>
            <w:t>rdinaria 53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170F7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170F70" w:rsidRPr="002B04A8">
            <w:rPr>
              <w:rFonts w:ascii="Arial" w:hAnsi="Arial" w:cs="Arial"/>
              <w:sz w:val="24"/>
            </w:rPr>
            <w:fldChar w:fldCharType="separate"/>
          </w:r>
          <w:r w:rsidR="00BD52B8">
            <w:rPr>
              <w:rFonts w:ascii="Arial" w:hAnsi="Arial" w:cs="Arial"/>
              <w:noProof/>
              <w:sz w:val="24"/>
            </w:rPr>
            <w:t>2</w:t>
          </w:r>
          <w:r w:rsidR="00170F7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BD52B8" w:rsidRPr="00BD52B8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979C4">
            <w:rPr>
              <w:rFonts w:ascii="Arial" w:hAnsi="Arial" w:cs="Arial"/>
              <w:sz w:val="24"/>
            </w:rPr>
            <w:t>rdinaria 53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170F70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170F70" w:rsidRPr="002B04A8">
            <w:rPr>
              <w:rFonts w:ascii="Arial" w:hAnsi="Arial" w:cs="Arial"/>
              <w:sz w:val="24"/>
            </w:rPr>
            <w:fldChar w:fldCharType="separate"/>
          </w:r>
          <w:r w:rsidR="00BD52B8">
            <w:rPr>
              <w:rFonts w:ascii="Arial" w:hAnsi="Arial" w:cs="Arial"/>
              <w:noProof/>
              <w:sz w:val="24"/>
            </w:rPr>
            <w:t>1</w:t>
          </w:r>
          <w:r w:rsidR="00170F70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BD52B8" w:rsidRPr="00BD52B8">
              <w:rPr>
                <w:rFonts w:ascii="Arial" w:hAnsi="Arial" w:cs="Arial"/>
                <w:noProof/>
                <w:sz w:val="24"/>
              </w:rPr>
              <w:t>7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A0" w:rsidRDefault="00EA07A0" w:rsidP="00BB457C">
      <w:pPr>
        <w:spacing w:after="0" w:line="240" w:lineRule="auto"/>
      </w:pPr>
      <w:r>
        <w:separator/>
      </w:r>
    </w:p>
  </w:footnote>
  <w:footnote w:type="continuationSeparator" w:id="0">
    <w:p w:rsidR="00EA07A0" w:rsidRDefault="00EA07A0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11F25"/>
    <w:rsid w:val="00030B9B"/>
    <w:rsid w:val="0005199F"/>
    <w:rsid w:val="00053BC8"/>
    <w:rsid w:val="000929A8"/>
    <w:rsid w:val="000B5DD8"/>
    <w:rsid w:val="000D45A3"/>
    <w:rsid w:val="001150F0"/>
    <w:rsid w:val="00163940"/>
    <w:rsid w:val="001642A3"/>
    <w:rsid w:val="00170F70"/>
    <w:rsid w:val="00171374"/>
    <w:rsid w:val="00171F27"/>
    <w:rsid w:val="001C1EA5"/>
    <w:rsid w:val="001E6A4F"/>
    <w:rsid w:val="001F1FFA"/>
    <w:rsid w:val="00213E98"/>
    <w:rsid w:val="002438FC"/>
    <w:rsid w:val="002A17B7"/>
    <w:rsid w:val="002A70AF"/>
    <w:rsid w:val="002B0374"/>
    <w:rsid w:val="002F5492"/>
    <w:rsid w:val="00306998"/>
    <w:rsid w:val="003105B5"/>
    <w:rsid w:val="00322418"/>
    <w:rsid w:val="00340682"/>
    <w:rsid w:val="00352A1F"/>
    <w:rsid w:val="00386774"/>
    <w:rsid w:val="003979C4"/>
    <w:rsid w:val="003A3C93"/>
    <w:rsid w:val="003A6B30"/>
    <w:rsid w:val="003B1664"/>
    <w:rsid w:val="003C539A"/>
    <w:rsid w:val="003D0438"/>
    <w:rsid w:val="003E6360"/>
    <w:rsid w:val="003E675B"/>
    <w:rsid w:val="004031B1"/>
    <w:rsid w:val="0040670B"/>
    <w:rsid w:val="00435BCE"/>
    <w:rsid w:val="00440C79"/>
    <w:rsid w:val="00484147"/>
    <w:rsid w:val="004A186B"/>
    <w:rsid w:val="004F3FFF"/>
    <w:rsid w:val="004F689E"/>
    <w:rsid w:val="00527373"/>
    <w:rsid w:val="00534EB3"/>
    <w:rsid w:val="00536862"/>
    <w:rsid w:val="005541A0"/>
    <w:rsid w:val="00561CDE"/>
    <w:rsid w:val="00592385"/>
    <w:rsid w:val="005D529B"/>
    <w:rsid w:val="005D622E"/>
    <w:rsid w:val="006939D3"/>
    <w:rsid w:val="006B2C5A"/>
    <w:rsid w:val="006B2C80"/>
    <w:rsid w:val="006C7AAA"/>
    <w:rsid w:val="006F5DD5"/>
    <w:rsid w:val="006F7A4C"/>
    <w:rsid w:val="00721DCB"/>
    <w:rsid w:val="00760ECC"/>
    <w:rsid w:val="007617E0"/>
    <w:rsid w:val="007D58A8"/>
    <w:rsid w:val="007F5B1A"/>
    <w:rsid w:val="0085294F"/>
    <w:rsid w:val="008538B1"/>
    <w:rsid w:val="00865FC6"/>
    <w:rsid w:val="00881137"/>
    <w:rsid w:val="00884284"/>
    <w:rsid w:val="00884C06"/>
    <w:rsid w:val="008A1FA6"/>
    <w:rsid w:val="008F0581"/>
    <w:rsid w:val="008F7A8C"/>
    <w:rsid w:val="0091103B"/>
    <w:rsid w:val="0094516E"/>
    <w:rsid w:val="009618AC"/>
    <w:rsid w:val="00973D26"/>
    <w:rsid w:val="009C7DF0"/>
    <w:rsid w:val="009E2AB0"/>
    <w:rsid w:val="00A06677"/>
    <w:rsid w:val="00A16237"/>
    <w:rsid w:val="00A64A6D"/>
    <w:rsid w:val="00AA47AE"/>
    <w:rsid w:val="00AA507B"/>
    <w:rsid w:val="00AA5F05"/>
    <w:rsid w:val="00AB1209"/>
    <w:rsid w:val="00AD66D5"/>
    <w:rsid w:val="00AD6729"/>
    <w:rsid w:val="00AE3848"/>
    <w:rsid w:val="00AE7044"/>
    <w:rsid w:val="00AF439A"/>
    <w:rsid w:val="00B36AF1"/>
    <w:rsid w:val="00B710F0"/>
    <w:rsid w:val="00B73739"/>
    <w:rsid w:val="00B81455"/>
    <w:rsid w:val="00BB457C"/>
    <w:rsid w:val="00BD52B8"/>
    <w:rsid w:val="00BF1BA5"/>
    <w:rsid w:val="00BF3966"/>
    <w:rsid w:val="00BF4811"/>
    <w:rsid w:val="00C14633"/>
    <w:rsid w:val="00C33584"/>
    <w:rsid w:val="00C65080"/>
    <w:rsid w:val="00C73998"/>
    <w:rsid w:val="00CA114B"/>
    <w:rsid w:val="00CC3C54"/>
    <w:rsid w:val="00CF429D"/>
    <w:rsid w:val="00D067B4"/>
    <w:rsid w:val="00D14EE6"/>
    <w:rsid w:val="00D17C08"/>
    <w:rsid w:val="00D2698E"/>
    <w:rsid w:val="00D40D10"/>
    <w:rsid w:val="00D67061"/>
    <w:rsid w:val="00DA4897"/>
    <w:rsid w:val="00DC5383"/>
    <w:rsid w:val="00DD3B7E"/>
    <w:rsid w:val="00E06ECA"/>
    <w:rsid w:val="00E245F6"/>
    <w:rsid w:val="00E265F0"/>
    <w:rsid w:val="00E517EF"/>
    <w:rsid w:val="00E70C62"/>
    <w:rsid w:val="00E72E22"/>
    <w:rsid w:val="00E8248F"/>
    <w:rsid w:val="00EA07A0"/>
    <w:rsid w:val="00EE1F16"/>
    <w:rsid w:val="00EF63A6"/>
    <w:rsid w:val="00F10232"/>
    <w:rsid w:val="00F14D7F"/>
    <w:rsid w:val="00F61245"/>
    <w:rsid w:val="00F653F7"/>
    <w:rsid w:val="00FB3556"/>
    <w:rsid w:val="00FC6482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6A75-79B1-45CB-A995-D8425BD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1273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2017-05-03T17:24:00Z</cp:lastPrinted>
  <dcterms:created xsi:type="dcterms:W3CDTF">2017-09-04T17:58:00Z</dcterms:created>
  <dcterms:modified xsi:type="dcterms:W3CDTF">2017-09-04T18:20:00Z</dcterms:modified>
</cp:coreProperties>
</file>