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F3" w:rsidRDefault="004779F3" w:rsidP="00DA524A">
      <w:pPr>
        <w:spacing w:before="120"/>
        <w:jc w:val="center"/>
        <w:rPr>
          <w:rFonts w:ascii="Lato" w:hAnsi="Lato" w:cs="Arial"/>
          <w:b/>
        </w:rPr>
      </w:pPr>
    </w:p>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Default="00DA524A" w:rsidP="00D602D7">
      <w:pPr>
        <w:jc w:val="right"/>
        <w:rPr>
          <w:rFonts w:ascii="Lato" w:hAnsi="Lato" w:cs="Arial"/>
          <w:b/>
          <w:sz w:val="26"/>
          <w:szCs w:val="26"/>
        </w:rPr>
      </w:pPr>
    </w:p>
    <w:p w:rsidR="00BD26DA" w:rsidRPr="007A2FA2" w:rsidRDefault="00BD26D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w:t>
      </w:r>
      <w:r w:rsidR="00EF3EF5">
        <w:rPr>
          <w:rFonts w:ascii="Lato" w:hAnsi="Lato" w:cs="Arial"/>
          <w:b/>
        </w:rPr>
        <w:t xml:space="preserve">VA A LA SESIÓN EXTRAORDINARIA </w:t>
      </w:r>
      <w:r w:rsidR="00F17FE3">
        <w:rPr>
          <w:rFonts w:ascii="Lato" w:hAnsi="Lato" w:cs="Arial"/>
          <w:b/>
        </w:rPr>
        <w:t>25</w:t>
      </w:r>
      <w:r w:rsidRPr="007A2FA2">
        <w:rPr>
          <w:rFonts w:ascii="Lato" w:hAnsi="Lato" w:cs="Arial"/>
          <w:b/>
        </w:rPr>
        <w:t>/</w:t>
      </w:r>
      <w:r w:rsidR="001E13DA">
        <w:rPr>
          <w:rFonts w:ascii="Lato" w:hAnsi="Lato" w:cs="Arial"/>
          <w:b/>
        </w:rPr>
        <w:t>20</w:t>
      </w:r>
      <w:r w:rsidRPr="007A2FA2">
        <w:rPr>
          <w:rFonts w:ascii="Lato" w:hAnsi="Lato" w:cs="Arial"/>
          <w:b/>
        </w:rPr>
        <w:t>18</w:t>
      </w:r>
    </w:p>
    <w:p w:rsidR="00DF76A5" w:rsidRDefault="00DF76A5" w:rsidP="00DF76A5">
      <w:pPr>
        <w:jc w:val="center"/>
        <w:rPr>
          <w:rFonts w:ascii="Lato" w:hAnsi="Lato"/>
          <w:b/>
          <w:sz w:val="28"/>
          <w:szCs w:val="28"/>
        </w:rPr>
      </w:pPr>
    </w:p>
    <w:p w:rsidR="00BD26DA" w:rsidRPr="007A2FA2" w:rsidRDefault="00BD26DA" w:rsidP="00DF76A5">
      <w:pPr>
        <w:jc w:val="center"/>
        <w:rPr>
          <w:rFonts w:ascii="Lato" w:hAnsi="Lato"/>
          <w:b/>
          <w:sz w:val="28"/>
          <w:szCs w:val="28"/>
        </w:rPr>
      </w:pPr>
    </w:p>
    <w:p w:rsidR="00DF76A5" w:rsidRPr="007A2FA2" w:rsidRDefault="00DF76A5" w:rsidP="00DF76A5">
      <w:pPr>
        <w:spacing w:line="360" w:lineRule="auto"/>
        <w:jc w:val="both"/>
        <w:rPr>
          <w:rFonts w:ascii="Lato" w:hAnsi="Lato" w:cs="Arial"/>
        </w:rPr>
      </w:pPr>
      <w:r w:rsidRPr="007A2FA2">
        <w:rPr>
          <w:rFonts w:ascii="Lato" w:hAnsi="Lato" w:cs="Arial"/>
        </w:rPr>
        <w:t xml:space="preserve">En Mexicali, Baja California, siendo las </w:t>
      </w:r>
      <w:r w:rsidR="00F17FE3">
        <w:rPr>
          <w:rFonts w:ascii="Lato" w:hAnsi="Lato" w:cs="Arial"/>
        </w:rPr>
        <w:t xml:space="preserve">trece </w:t>
      </w:r>
      <w:r w:rsidR="009A3124">
        <w:rPr>
          <w:rFonts w:ascii="Lato" w:hAnsi="Lato" w:cs="Arial"/>
        </w:rPr>
        <w:t xml:space="preserve">horas del día </w:t>
      </w:r>
      <w:r w:rsidR="00F17FE3">
        <w:rPr>
          <w:rFonts w:ascii="Lato" w:hAnsi="Lato" w:cs="Arial"/>
        </w:rPr>
        <w:t xml:space="preserve">diez de julio </w:t>
      </w:r>
      <w:r w:rsidRPr="007A2FA2">
        <w:rPr>
          <w:rFonts w:ascii="Lato" w:hAnsi="Lato" w:cs="Arial"/>
        </w:rPr>
        <w:t>de dos mil dieciocho, se reunieron en la sala de sesiones del Consejo de la Judicatura del Estado, los integrantes del Comité para la Transparencia, Acceso a la Información Pública y Protección de Datos Personales, Magistrado Presidente del Tribunal Superior de Justicia y del Consejo de la Judicatura, Maestro Salvador Juan Ortiz Morales, Magistrada y Consejera Presidenta de la Comisión de Vigilancia y Disciplina del Consejo de la Judicatura, Licenciada Columba Imelda Amador Guillén, Magistrado Félix Herrera Esquivel, Director de la Unidad Jurídica y Asesoría Interna del Poder Judicial, Licenciado Jesús Ariel Durán Morales, Oficial Mayor del Consejo de la Judicatura, C.P. Jorge Alberto Coral Gutiérrez y la Directora de la Unidad de Transparencia, Maestra en Derecho Elsa Amalia Kuljacha Lerma, Secretaria Técnica del Comité, para cele</w:t>
      </w:r>
      <w:r w:rsidR="00EF3EF5">
        <w:rPr>
          <w:rFonts w:ascii="Lato" w:hAnsi="Lato" w:cs="Arial"/>
        </w:rPr>
        <w:t xml:space="preserve">brar la sesión </w:t>
      </w:r>
      <w:proofErr w:type="gramStart"/>
      <w:r w:rsidR="00EF3EF5">
        <w:rPr>
          <w:rFonts w:ascii="Lato" w:hAnsi="Lato" w:cs="Arial"/>
        </w:rPr>
        <w:t>extraordinaria</w:t>
      </w:r>
      <w:proofErr w:type="gramEnd"/>
      <w:r w:rsidR="00EF3EF5">
        <w:rPr>
          <w:rFonts w:ascii="Lato" w:hAnsi="Lato" w:cs="Arial"/>
        </w:rPr>
        <w:t xml:space="preserve"> </w:t>
      </w:r>
      <w:r w:rsidR="001E13DA">
        <w:rPr>
          <w:rFonts w:ascii="Lato" w:hAnsi="Lato" w:cs="Arial"/>
        </w:rPr>
        <w:t>25/201</w:t>
      </w:r>
      <w:r w:rsidRPr="007A2FA2">
        <w:rPr>
          <w:rFonts w:ascii="Lato" w:hAnsi="Lato" w:cs="Arial"/>
        </w:rPr>
        <w:t xml:space="preserve">8.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A2FA2" w:rsidRDefault="00DF76A5" w:rsidP="00DF76A5">
      <w:pPr>
        <w:spacing w:line="360" w:lineRule="auto"/>
        <w:rPr>
          <w:rFonts w:ascii="Lato" w:hAnsi="Lato" w:cs="Arial"/>
        </w:rPr>
      </w:pPr>
    </w:p>
    <w:p w:rsidR="00DF76A5" w:rsidRPr="007A2FA2" w:rsidRDefault="00DF76A5" w:rsidP="00DF76A5">
      <w:pPr>
        <w:spacing w:line="360" w:lineRule="auto"/>
        <w:jc w:val="center"/>
        <w:rPr>
          <w:rFonts w:ascii="Lato" w:hAnsi="Lato" w:cs="Arial"/>
        </w:rPr>
      </w:pPr>
      <w:r w:rsidRPr="007A2FA2">
        <w:rPr>
          <w:rFonts w:ascii="Lato" w:hAnsi="Lato" w:cs="Arial"/>
        </w:rPr>
        <w:t>ORDEN DEL DÍA</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Asuntos a tratar:</w:t>
      </w:r>
    </w:p>
    <w:p w:rsidR="004779F3" w:rsidRDefault="004779F3" w:rsidP="00DF76A5">
      <w:pPr>
        <w:spacing w:line="360" w:lineRule="auto"/>
        <w:jc w:val="both"/>
        <w:rPr>
          <w:rFonts w:ascii="Lato" w:hAnsi="Lato" w:cs="Arial"/>
          <w:b/>
        </w:rPr>
      </w:pPr>
    </w:p>
    <w:p w:rsidR="004779F3" w:rsidRDefault="004779F3" w:rsidP="00DF76A5">
      <w:pPr>
        <w:spacing w:line="360" w:lineRule="auto"/>
        <w:jc w:val="both"/>
        <w:rPr>
          <w:rFonts w:ascii="Lato" w:hAnsi="Lato" w:cs="Arial"/>
          <w:b/>
        </w:rPr>
      </w:pPr>
    </w:p>
    <w:p w:rsidR="00E82032" w:rsidRDefault="00DF76A5" w:rsidP="00BD26DA">
      <w:pPr>
        <w:spacing w:line="360" w:lineRule="auto"/>
        <w:jc w:val="both"/>
        <w:rPr>
          <w:rFonts w:ascii="Lato" w:hAnsi="Lato" w:cs="Arial"/>
        </w:rPr>
      </w:pPr>
      <w:r w:rsidRPr="007A2FA2">
        <w:rPr>
          <w:rFonts w:ascii="Lato" w:hAnsi="Lato" w:cs="Arial"/>
          <w:b/>
        </w:rPr>
        <w:lastRenderedPageBreak/>
        <w:t>ÚNICO.</w:t>
      </w:r>
      <w:r w:rsidRPr="007A2FA2">
        <w:rPr>
          <w:rFonts w:ascii="Lato" w:hAnsi="Lato" w:cs="Arial"/>
        </w:rPr>
        <w:t xml:space="preserve"> </w:t>
      </w:r>
      <w:r w:rsidRPr="007A2FA2">
        <w:rPr>
          <w:rFonts w:ascii="Lato" w:hAnsi="Lato" w:cs="Arial"/>
          <w:b/>
        </w:rPr>
        <w:t xml:space="preserve">Procedimiento de </w:t>
      </w:r>
      <w:r w:rsidR="00E96D9B">
        <w:rPr>
          <w:rFonts w:ascii="Lato" w:hAnsi="Lato" w:cs="Arial"/>
          <w:b/>
        </w:rPr>
        <w:t>incompetencia</w:t>
      </w:r>
      <w:r w:rsidR="00C175EA">
        <w:rPr>
          <w:rFonts w:ascii="Lato" w:hAnsi="Lato" w:cs="Arial"/>
          <w:b/>
        </w:rPr>
        <w:t xml:space="preserve"> 0</w:t>
      </w:r>
      <w:r w:rsidR="00E96D9B">
        <w:rPr>
          <w:rFonts w:ascii="Lato" w:hAnsi="Lato" w:cs="Arial"/>
          <w:b/>
        </w:rPr>
        <w:t>1</w:t>
      </w:r>
      <w:r w:rsidRPr="007A2FA2">
        <w:rPr>
          <w:rFonts w:ascii="Lato" w:hAnsi="Lato" w:cs="Arial"/>
          <w:b/>
        </w:rPr>
        <w:t>/</w:t>
      </w:r>
      <w:r w:rsidR="004779F3">
        <w:rPr>
          <w:rFonts w:ascii="Lato" w:hAnsi="Lato" w:cs="Arial"/>
          <w:b/>
        </w:rPr>
        <w:t>20</w:t>
      </w:r>
      <w:r w:rsidRPr="007A2FA2">
        <w:rPr>
          <w:rFonts w:ascii="Lato" w:hAnsi="Lato" w:cs="Arial"/>
          <w:b/>
        </w:rPr>
        <w:t>18</w:t>
      </w:r>
      <w:r w:rsidRPr="007A2FA2">
        <w:rPr>
          <w:rFonts w:ascii="Lato" w:hAnsi="Lato" w:cs="Arial"/>
        </w:rPr>
        <w:t>, derivado de la solicitud de información registrad</w:t>
      </w:r>
      <w:r w:rsidR="00C175EA">
        <w:rPr>
          <w:rFonts w:ascii="Lato" w:hAnsi="Lato" w:cs="Arial"/>
        </w:rPr>
        <w:t>a con el número de folio 0016</w:t>
      </w:r>
      <w:r w:rsidR="00E96D9B">
        <w:rPr>
          <w:rFonts w:ascii="Lato" w:hAnsi="Lato" w:cs="Arial"/>
        </w:rPr>
        <w:t>13</w:t>
      </w:r>
      <w:r w:rsidR="00C175EA">
        <w:rPr>
          <w:rFonts w:ascii="Lato" w:hAnsi="Lato" w:cs="Arial"/>
        </w:rPr>
        <w:t>18</w:t>
      </w:r>
      <w:r w:rsidR="00DE2028">
        <w:rPr>
          <w:rFonts w:ascii="Lato" w:hAnsi="Lato" w:cs="Arial"/>
        </w:rPr>
        <w:t>, que se</w:t>
      </w:r>
      <w:r w:rsidRPr="007A2FA2">
        <w:rPr>
          <w:rFonts w:ascii="Lato" w:hAnsi="Lato" w:cs="Arial"/>
        </w:rPr>
        <w:t xml:space="preserve"> realiz</w:t>
      </w:r>
      <w:r w:rsidR="00DE2028">
        <w:rPr>
          <w:rFonts w:ascii="Lato" w:hAnsi="Lato" w:cs="Arial"/>
        </w:rPr>
        <w:t>ó</w:t>
      </w:r>
      <w:r w:rsidRPr="007A2FA2">
        <w:rPr>
          <w:rFonts w:ascii="Lato" w:hAnsi="Lato" w:cs="Arial"/>
        </w:rPr>
        <w:t xml:space="preserve"> med</w:t>
      </w:r>
      <w:r w:rsidR="00C64449">
        <w:rPr>
          <w:rFonts w:ascii="Lato" w:hAnsi="Lato" w:cs="Arial"/>
        </w:rPr>
        <w:t xml:space="preserve">iante la Plataforma Nacional de Transparencia, en fecha </w:t>
      </w:r>
      <w:r w:rsidR="00DE2028">
        <w:rPr>
          <w:rFonts w:ascii="Lato" w:hAnsi="Lato" w:cs="Arial"/>
        </w:rPr>
        <w:t>dos</w:t>
      </w:r>
      <w:r w:rsidR="000D6DBF">
        <w:rPr>
          <w:rFonts w:ascii="Lato" w:hAnsi="Lato" w:cs="Arial"/>
        </w:rPr>
        <w:t xml:space="preserve"> </w:t>
      </w:r>
      <w:r w:rsidR="00C64449">
        <w:rPr>
          <w:rFonts w:ascii="Lato" w:hAnsi="Lato" w:cs="Arial"/>
        </w:rPr>
        <w:t>de ma</w:t>
      </w:r>
      <w:r w:rsidRPr="007A2FA2">
        <w:rPr>
          <w:rFonts w:ascii="Lato" w:hAnsi="Lato" w:cs="Arial"/>
        </w:rPr>
        <w:t>r</w:t>
      </w:r>
      <w:r w:rsidR="00C64449">
        <w:rPr>
          <w:rFonts w:ascii="Lato" w:hAnsi="Lato" w:cs="Arial"/>
        </w:rPr>
        <w:t>z</w:t>
      </w:r>
      <w:r w:rsidRPr="007A2FA2">
        <w:rPr>
          <w:rFonts w:ascii="Lato" w:hAnsi="Lato" w:cs="Arial"/>
        </w:rPr>
        <w:t>o de dos mil dieciocho</w:t>
      </w:r>
      <w:r w:rsidR="00DE2028">
        <w:rPr>
          <w:rFonts w:ascii="Lato" w:hAnsi="Lato" w:cs="Arial"/>
        </w:rPr>
        <w:t xml:space="preserve">, relacionado con el Recurso de Revisión </w:t>
      </w:r>
      <w:proofErr w:type="spellStart"/>
      <w:r w:rsidR="004779F3" w:rsidRPr="004779F3">
        <w:rPr>
          <w:rFonts w:ascii="Lato" w:hAnsi="Lato" w:cs="Arial"/>
        </w:rPr>
        <w:t>REV</w:t>
      </w:r>
      <w:proofErr w:type="spellEnd"/>
      <w:r w:rsidR="004779F3" w:rsidRPr="004779F3">
        <w:rPr>
          <w:rFonts w:ascii="Lato" w:hAnsi="Lato" w:cs="Arial"/>
        </w:rPr>
        <w:t>/050/2018</w:t>
      </w:r>
      <w:r w:rsidR="00DE2028">
        <w:rPr>
          <w:rFonts w:ascii="Lato" w:hAnsi="Lato" w:cs="Arial"/>
        </w:rPr>
        <w:t xml:space="preserve">, interpuesto ante el Instituto de Transparencia, Acceso a la Información Pública y Protección de Datos </w:t>
      </w:r>
      <w:r w:rsidR="00451B76">
        <w:rPr>
          <w:rFonts w:ascii="Lato" w:hAnsi="Lato" w:cs="Arial"/>
        </w:rPr>
        <w:t>P</w:t>
      </w:r>
      <w:r w:rsidR="00DE2028">
        <w:rPr>
          <w:rFonts w:ascii="Lato" w:hAnsi="Lato" w:cs="Arial"/>
        </w:rPr>
        <w:t>ersonales de</w:t>
      </w:r>
      <w:r w:rsidR="004779F3">
        <w:rPr>
          <w:rFonts w:ascii="Lato" w:hAnsi="Lato" w:cs="Arial"/>
        </w:rPr>
        <w:t xml:space="preserve">l Estado de </w:t>
      </w:r>
      <w:r w:rsidR="00DE2028">
        <w:rPr>
          <w:rFonts w:ascii="Lato" w:hAnsi="Lato" w:cs="Arial"/>
        </w:rPr>
        <w:t>Baja California</w:t>
      </w:r>
      <w:r w:rsidR="00F438E9">
        <w:rPr>
          <w:rFonts w:ascii="Lato" w:hAnsi="Lato" w:cs="Arial"/>
        </w:rPr>
        <w:t>.</w:t>
      </w:r>
      <w:r w:rsidR="00E82032">
        <w:rPr>
          <w:rFonts w:ascii="Lato" w:hAnsi="Lato" w:cs="Arial"/>
        </w:rPr>
        <w:t xml:space="preserve"> </w:t>
      </w:r>
    </w:p>
    <w:p w:rsidR="00E82032" w:rsidRDefault="00E82032" w:rsidP="00DF76A5">
      <w:pPr>
        <w:spacing w:line="360" w:lineRule="auto"/>
        <w:jc w:val="both"/>
        <w:rPr>
          <w:rFonts w:ascii="Lato" w:hAnsi="Lato" w:cs="Arial"/>
        </w:rPr>
      </w:pPr>
    </w:p>
    <w:p w:rsidR="009F0C70" w:rsidRPr="009F0C70" w:rsidRDefault="00DE2028" w:rsidP="00BD26DA">
      <w:pPr>
        <w:spacing w:line="360" w:lineRule="auto"/>
        <w:jc w:val="both"/>
        <w:rPr>
          <w:rFonts w:ascii="Lato" w:hAnsi="Lato" w:cs="Arial"/>
          <w:i/>
        </w:rPr>
      </w:pPr>
      <w:r>
        <w:rPr>
          <w:rFonts w:ascii="Lato" w:hAnsi="Lato" w:cs="Arial"/>
        </w:rPr>
        <w:t>La Secretaria Técnica del Comité, por instrucciones de su Presidente,</w:t>
      </w:r>
      <w:r w:rsidR="004779F3">
        <w:rPr>
          <w:rFonts w:ascii="Lato" w:hAnsi="Lato" w:cs="Arial"/>
        </w:rPr>
        <w:t xml:space="preserve"> </w:t>
      </w:r>
      <w:r>
        <w:rPr>
          <w:rFonts w:ascii="Lato" w:hAnsi="Lato" w:cs="Arial"/>
        </w:rPr>
        <w:t>da cuenta con el</w:t>
      </w:r>
      <w:r w:rsidR="004779F3">
        <w:rPr>
          <w:rFonts w:ascii="Lato" w:hAnsi="Lato" w:cs="Arial"/>
        </w:rPr>
        <w:t xml:space="preserve"> </w:t>
      </w:r>
      <w:r w:rsidR="00DF76A5" w:rsidRPr="00DE2028">
        <w:rPr>
          <w:rFonts w:ascii="Lato" w:hAnsi="Lato" w:cs="Arial"/>
          <w:b/>
        </w:rPr>
        <w:t xml:space="preserve">proyecto de resolución presentado por </w:t>
      </w:r>
      <w:r w:rsidRPr="00DE2028">
        <w:rPr>
          <w:rFonts w:ascii="Lato" w:hAnsi="Lato" w:cs="Arial"/>
          <w:b/>
        </w:rPr>
        <w:t xml:space="preserve">el Director de la Unidad Jurídica y Asesoría Interna </w:t>
      </w:r>
      <w:r w:rsidRPr="001F7478">
        <w:rPr>
          <w:rFonts w:ascii="Lato" w:hAnsi="Lato" w:cs="Arial"/>
          <w:b/>
        </w:rPr>
        <w:t>del Consejo de la Judicatura</w:t>
      </w:r>
      <w:r w:rsidRPr="001F7478">
        <w:rPr>
          <w:rFonts w:ascii="Lato" w:hAnsi="Lato" w:cs="Arial"/>
        </w:rPr>
        <w:t xml:space="preserve"> e integrante de este Comité, manifestando que dicho proyecto atiende el cumplimiento a la resolución de fecha 03 de julio del año en curso, emitida por el H. Pleno del Instituto de Transparencia, Acceso a la Información Pública y Protección de Datos Personales del Estado de Baja California, dentro del recurso de revisión número </w:t>
      </w:r>
      <w:proofErr w:type="spellStart"/>
      <w:r w:rsidRPr="001F7478">
        <w:rPr>
          <w:rFonts w:ascii="Lato" w:hAnsi="Lato" w:cs="Arial"/>
          <w:b/>
        </w:rPr>
        <w:t>REV</w:t>
      </w:r>
      <w:proofErr w:type="spellEnd"/>
      <w:r w:rsidRPr="001F7478">
        <w:rPr>
          <w:rFonts w:ascii="Lato" w:hAnsi="Lato" w:cs="Arial"/>
          <w:b/>
        </w:rPr>
        <w:t xml:space="preserve">/050/2018, </w:t>
      </w:r>
      <w:r w:rsidRPr="00F4051D">
        <w:rPr>
          <w:rFonts w:ascii="Lato" w:hAnsi="Lato" w:cs="Arial"/>
        </w:rPr>
        <w:t>que ordena</w:t>
      </w:r>
      <w:r w:rsidR="004779F3">
        <w:rPr>
          <w:rFonts w:ascii="Lato" w:hAnsi="Lato" w:cs="Arial"/>
          <w:b/>
        </w:rPr>
        <w:t xml:space="preserve"> </w:t>
      </w:r>
      <w:r w:rsidR="00F4051D">
        <w:rPr>
          <w:rFonts w:ascii="Lato" w:hAnsi="Lato" w:cs="Arial"/>
        </w:rPr>
        <w:t xml:space="preserve">en el primero de sus resolutivos, </w:t>
      </w:r>
      <w:r w:rsidR="001F7478" w:rsidRPr="001F7478">
        <w:rPr>
          <w:rFonts w:ascii="Lato" w:hAnsi="Lato" w:cs="Arial"/>
        </w:rPr>
        <w:t xml:space="preserve">fundar y motivar la incompetencia del Poder Judicial en la materia de interés del solicitante, mediante resolución que emita el Comité, en los términos que </w:t>
      </w:r>
      <w:r w:rsidR="009F0C70">
        <w:rPr>
          <w:rFonts w:ascii="Lato" w:hAnsi="Lato" w:cs="Arial"/>
        </w:rPr>
        <w:t>indica</w:t>
      </w:r>
      <w:r w:rsidR="001F7478" w:rsidRPr="001F7478">
        <w:rPr>
          <w:rFonts w:ascii="Lato" w:hAnsi="Lato" w:cs="Arial"/>
        </w:rPr>
        <w:t xml:space="preserve">. </w:t>
      </w:r>
    </w:p>
    <w:p w:rsidR="009F0C70" w:rsidRDefault="009F0C70" w:rsidP="001F7478">
      <w:pPr>
        <w:spacing w:line="360" w:lineRule="auto"/>
        <w:ind w:right="-279"/>
        <w:jc w:val="both"/>
        <w:rPr>
          <w:rFonts w:ascii="Lato" w:hAnsi="Lato" w:cs="Arial"/>
        </w:rPr>
      </w:pPr>
    </w:p>
    <w:p w:rsidR="00F4051D" w:rsidRDefault="001F7478" w:rsidP="00BD26DA">
      <w:pPr>
        <w:spacing w:line="360" w:lineRule="auto"/>
        <w:jc w:val="both"/>
        <w:rPr>
          <w:rFonts w:ascii="Lato" w:hAnsi="Lato" w:cs="Arial"/>
        </w:rPr>
      </w:pPr>
      <w:r w:rsidRPr="001F7478">
        <w:rPr>
          <w:rFonts w:ascii="Lato" w:hAnsi="Lato" w:cs="Arial"/>
        </w:rPr>
        <w:t>A</w:t>
      </w:r>
      <w:r w:rsidR="00DE2028" w:rsidRPr="001F7478">
        <w:rPr>
          <w:rFonts w:ascii="Lato" w:hAnsi="Lato" w:cs="Arial"/>
        </w:rPr>
        <w:t>cto continuo, se</w:t>
      </w:r>
      <w:r w:rsidR="004779F3">
        <w:rPr>
          <w:rFonts w:ascii="Lato" w:hAnsi="Lato" w:cs="Arial"/>
        </w:rPr>
        <w:t xml:space="preserve"> </w:t>
      </w:r>
      <w:r w:rsidR="00DF76A5" w:rsidRPr="001F7478">
        <w:rPr>
          <w:rFonts w:ascii="Lato" w:hAnsi="Lato" w:cs="Arial"/>
        </w:rPr>
        <w:t>somete a discusión el asunto y con las facultades que se le confieren al Comité en la fracci</w:t>
      </w:r>
      <w:r w:rsidR="00E96D9B" w:rsidRPr="001F7478">
        <w:rPr>
          <w:rFonts w:ascii="Lato" w:hAnsi="Lato" w:cs="Arial"/>
        </w:rPr>
        <w:t>ón</w:t>
      </w:r>
      <w:r w:rsidR="00DF76A5" w:rsidRPr="001F7478">
        <w:rPr>
          <w:rFonts w:ascii="Lato" w:hAnsi="Lato" w:cs="Arial"/>
        </w:rPr>
        <w:t xml:space="preserve">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sidRPr="001F7478">
        <w:rPr>
          <w:rFonts w:ascii="Lato" w:hAnsi="Lato" w:cs="Arial"/>
          <w:b/>
        </w:rPr>
        <w:t>se aprobó</w:t>
      </w:r>
      <w:r w:rsidR="00AA4FE3">
        <w:rPr>
          <w:rFonts w:ascii="Lato" w:hAnsi="Lato" w:cs="Arial"/>
          <w:b/>
        </w:rPr>
        <w:t xml:space="preserve"> </w:t>
      </w:r>
      <w:r w:rsidRPr="001F7478">
        <w:rPr>
          <w:rFonts w:ascii="Lato" w:hAnsi="Lato" w:cs="Arial"/>
          <w:b/>
        </w:rPr>
        <w:t xml:space="preserve">el proyecto presentado </w:t>
      </w:r>
      <w:r w:rsidR="000C6F93" w:rsidRPr="001F7478">
        <w:rPr>
          <w:rFonts w:ascii="Lato" w:hAnsi="Lato" w:cs="Arial"/>
          <w:b/>
        </w:rPr>
        <w:t>por</w:t>
      </w:r>
      <w:r w:rsidR="00DF76A5" w:rsidRPr="001F7478">
        <w:rPr>
          <w:rFonts w:ascii="Lato" w:hAnsi="Lato" w:cs="Arial"/>
          <w:b/>
        </w:rPr>
        <w:t xml:space="preserve"> sus propios y legales fundamentos</w:t>
      </w:r>
      <w:r w:rsidR="00DF76A5" w:rsidRPr="00AA4FE3">
        <w:rPr>
          <w:rFonts w:ascii="Lato" w:hAnsi="Lato" w:cs="Arial"/>
          <w:b/>
        </w:rPr>
        <w:t>,</w:t>
      </w:r>
      <w:r w:rsidR="004779F3" w:rsidRPr="00AA4FE3">
        <w:rPr>
          <w:rFonts w:ascii="Lato" w:hAnsi="Lato" w:cs="Arial"/>
          <w:b/>
        </w:rPr>
        <w:t xml:space="preserve"> </w:t>
      </w:r>
      <w:r w:rsidR="00AA4FE3" w:rsidRPr="00AA4FE3">
        <w:rPr>
          <w:rFonts w:ascii="Lato" w:hAnsi="Lato" w:cs="Arial"/>
          <w:b/>
        </w:rPr>
        <w:t>y en atención a las consideraciones realizadas por el Órgano Garante en el Punto Sexto de sus Considerandos, es de modificarse la respuesta dada por la Unidad de Transparencia</w:t>
      </w:r>
      <w:r w:rsidR="00AA4FE3">
        <w:rPr>
          <w:rFonts w:ascii="Lato" w:hAnsi="Lato" w:cs="Arial"/>
        </w:rPr>
        <w:t xml:space="preserve"> </w:t>
      </w:r>
      <w:r w:rsidR="00AA4FE3" w:rsidRPr="001F7478">
        <w:rPr>
          <w:rFonts w:ascii="Lato" w:hAnsi="Lato" w:cs="Arial"/>
        </w:rPr>
        <w:t>mediante oficio número 0373/UT/</w:t>
      </w:r>
      <w:proofErr w:type="spellStart"/>
      <w:r w:rsidR="00AA4FE3" w:rsidRPr="001F7478">
        <w:rPr>
          <w:rFonts w:ascii="Lato" w:hAnsi="Lato" w:cs="Arial"/>
        </w:rPr>
        <w:t>MXL</w:t>
      </w:r>
      <w:proofErr w:type="spellEnd"/>
      <w:r w:rsidR="00AA4FE3" w:rsidRPr="001F7478">
        <w:rPr>
          <w:rFonts w:ascii="Lato" w:hAnsi="Lato" w:cs="Arial"/>
        </w:rPr>
        <w:t>/201</w:t>
      </w:r>
      <w:r w:rsidR="00AA4FE3">
        <w:rPr>
          <w:rFonts w:ascii="Lato" w:hAnsi="Lato" w:cs="Arial"/>
        </w:rPr>
        <w:t xml:space="preserve">8, de fecha 05 de marzo de 2018, a efectos de fundar y motivar la incompetencia del Poder Judicial, mediante resolución emitida por este Comité, la que hoy se pronuncia en los siguientes términos: </w:t>
      </w:r>
    </w:p>
    <w:p w:rsidR="00F4051D" w:rsidRDefault="00F4051D" w:rsidP="009F0C70">
      <w:pPr>
        <w:spacing w:line="360" w:lineRule="auto"/>
        <w:ind w:right="-279"/>
        <w:jc w:val="both"/>
        <w:rPr>
          <w:rFonts w:ascii="Lato" w:hAnsi="Lato" w:cs="Arial"/>
        </w:rPr>
      </w:pPr>
    </w:p>
    <w:p w:rsidR="00BD26DA" w:rsidRDefault="00BD26DA" w:rsidP="009F0C70">
      <w:pPr>
        <w:spacing w:line="360" w:lineRule="auto"/>
        <w:ind w:right="-279"/>
        <w:jc w:val="both"/>
        <w:rPr>
          <w:rFonts w:ascii="Lato" w:hAnsi="Lato" w:cs="Arial"/>
        </w:rPr>
      </w:pPr>
    </w:p>
    <w:p w:rsidR="00F4051D" w:rsidRPr="00F4051D" w:rsidRDefault="00F4051D" w:rsidP="00BD26DA">
      <w:pPr>
        <w:spacing w:line="360" w:lineRule="auto"/>
        <w:jc w:val="both"/>
        <w:rPr>
          <w:rFonts w:ascii="Lato" w:hAnsi="Lato" w:cs="Arial"/>
          <w:b/>
        </w:rPr>
      </w:pPr>
      <w:r w:rsidRPr="00F4051D">
        <w:rPr>
          <w:rFonts w:ascii="Lato" w:hAnsi="Lato" w:cs="Arial"/>
          <w:b/>
        </w:rPr>
        <w:lastRenderedPageBreak/>
        <w:t>ANTECEDENTES:</w:t>
      </w:r>
    </w:p>
    <w:p w:rsidR="00F4051D" w:rsidRPr="009F0C70" w:rsidRDefault="00F4051D" w:rsidP="00BD26DA">
      <w:pPr>
        <w:spacing w:line="360" w:lineRule="auto"/>
        <w:jc w:val="both"/>
        <w:rPr>
          <w:rFonts w:ascii="Lato" w:hAnsi="Lato" w:cs="Arial"/>
          <w:i/>
        </w:rPr>
      </w:pPr>
      <w:r>
        <w:rPr>
          <w:rFonts w:ascii="Lato" w:hAnsi="Lato" w:cs="Arial"/>
        </w:rPr>
        <w:t>I</w:t>
      </w:r>
      <w:r w:rsidR="00DF76A5" w:rsidRPr="007A2FA2">
        <w:rPr>
          <w:rFonts w:ascii="Lato" w:hAnsi="Lato" w:cs="Arial"/>
        </w:rPr>
        <w:t xml:space="preserve">) </w:t>
      </w:r>
      <w:r>
        <w:rPr>
          <w:rFonts w:ascii="Lato" w:hAnsi="Lato" w:cs="Arial"/>
        </w:rPr>
        <w:t xml:space="preserve">En la </w:t>
      </w:r>
      <w:r w:rsidRPr="009F0C70">
        <w:rPr>
          <w:rFonts w:ascii="Lato" w:hAnsi="Lato" w:cs="Arial"/>
        </w:rPr>
        <w:t xml:space="preserve">solicitud de referencia se </w:t>
      </w:r>
      <w:r>
        <w:rPr>
          <w:rFonts w:ascii="Lato" w:hAnsi="Lato" w:cs="Arial"/>
        </w:rPr>
        <w:t xml:space="preserve">pide </w:t>
      </w:r>
      <w:r w:rsidRPr="009F0C70">
        <w:rPr>
          <w:rFonts w:ascii="Lato" w:hAnsi="Lato" w:cs="Arial"/>
        </w:rPr>
        <w:t>acceso a la</w:t>
      </w:r>
      <w:r w:rsidR="004779F3">
        <w:rPr>
          <w:rFonts w:ascii="Lato" w:hAnsi="Lato" w:cs="Arial"/>
        </w:rPr>
        <w:t xml:space="preserve"> </w:t>
      </w:r>
      <w:r w:rsidRPr="009F0C70">
        <w:rPr>
          <w:rFonts w:ascii="Lato" w:hAnsi="Lato" w:cs="Arial"/>
        </w:rPr>
        <w:t>información pública en poder del Tribunal Superior de Justicia del Estado de Baja California</w:t>
      </w:r>
      <w:r w:rsidRPr="009F0C70">
        <w:rPr>
          <w:rFonts w:ascii="Lato" w:hAnsi="Lato" w:cs="Arial"/>
          <w:i/>
        </w:rPr>
        <w:t xml:space="preserve">, </w:t>
      </w:r>
      <w:r>
        <w:rPr>
          <w:rFonts w:ascii="Lato" w:hAnsi="Lato" w:cs="Arial"/>
          <w:i/>
        </w:rPr>
        <w:t>“</w:t>
      </w:r>
      <w:r w:rsidRPr="002829EA">
        <w:rPr>
          <w:rFonts w:ascii="Lato" w:hAnsi="Lato" w:cs="Arial"/>
          <w:i/>
          <w:sz w:val="22"/>
          <w:szCs w:val="22"/>
        </w:rPr>
        <w:t>según las obligaciones descritas en los Lineamientos de Colaboración en Materia de Seguridad y Justicia publicadas en dicha Institución el 2 de diciembre de 2015 en el Diario Oficial de la Federación: Copia de los acuerdos publicados en el DOF para designar a los servidores públicos del Tribunal Superior de Justicia del Estado de Baja California encargados de gestionar los requerimientos que se realicen a los Concesionarios y Autorizados de telecomunicaciones para recibir la información en materia de seguridad y justicia, como lo detallan el considerando Segundo y el lineamiento Cuarto de los Lineamientos de Colaboración en Materia de Seguridad y Justicia</w:t>
      </w:r>
      <w:r>
        <w:rPr>
          <w:rFonts w:ascii="Lato" w:hAnsi="Lato" w:cs="Arial"/>
          <w:i/>
        </w:rPr>
        <w:t>”</w:t>
      </w:r>
      <w:r w:rsidRPr="009F0C70">
        <w:rPr>
          <w:rFonts w:ascii="Lato" w:hAnsi="Lato" w:cs="Arial"/>
          <w:i/>
        </w:rPr>
        <w:t xml:space="preserve">. </w:t>
      </w:r>
    </w:p>
    <w:p w:rsidR="009F0C70" w:rsidRPr="007A2FA2" w:rsidRDefault="009F0C70" w:rsidP="009F0C70">
      <w:pPr>
        <w:spacing w:line="360" w:lineRule="auto"/>
        <w:jc w:val="both"/>
        <w:rPr>
          <w:rFonts w:ascii="Lato" w:hAnsi="Lato" w:cs="Arial"/>
          <w:i/>
        </w:rPr>
      </w:pPr>
    </w:p>
    <w:p w:rsidR="004779F3" w:rsidRDefault="00F4051D" w:rsidP="00BD26DA">
      <w:pPr>
        <w:spacing w:line="360" w:lineRule="auto"/>
        <w:jc w:val="both"/>
        <w:rPr>
          <w:rFonts w:ascii="Lato" w:hAnsi="Lato" w:cs="Arial"/>
        </w:rPr>
      </w:pPr>
      <w:r w:rsidRPr="003E7253">
        <w:rPr>
          <w:rFonts w:ascii="Lato" w:hAnsi="Lato" w:cs="Arial"/>
          <w:b/>
        </w:rPr>
        <w:t>II.- RESPUESTA A LA SOLICITUD.</w:t>
      </w:r>
      <w:r w:rsidRPr="003E7253">
        <w:rPr>
          <w:rFonts w:ascii="Lato" w:hAnsi="Lato" w:cs="Arial"/>
        </w:rPr>
        <w:t xml:space="preserve"> En fecha 05 de marzo de 2018, vía electrónica a través de la Plataforma Nacional de Transparencia, se dio respuesta a la solicitud de acceso a la información pública número 00161318, mediante la notificación del oficio número 0373/UT/MXL/2018, emitido y signado por la Directora de la Unidad de Transparencia, en el cual </w:t>
      </w:r>
      <w:r w:rsidR="001E13DA">
        <w:rPr>
          <w:rFonts w:ascii="Lato" w:hAnsi="Lato" w:cs="Arial"/>
        </w:rPr>
        <w:t xml:space="preserve">se informa de la </w:t>
      </w:r>
      <w:r w:rsidRPr="003E7253">
        <w:rPr>
          <w:rFonts w:ascii="Lato" w:hAnsi="Lato" w:cs="Arial"/>
          <w:b/>
          <w:u w:val="single"/>
        </w:rPr>
        <w:t>incompe</w:t>
      </w:r>
      <w:r w:rsidR="001E13DA">
        <w:rPr>
          <w:rFonts w:ascii="Lato" w:hAnsi="Lato" w:cs="Arial"/>
          <w:b/>
          <w:u w:val="single"/>
        </w:rPr>
        <w:t>tencia</w:t>
      </w:r>
      <w:r w:rsidRPr="003E7253">
        <w:rPr>
          <w:rFonts w:ascii="Lato" w:hAnsi="Lato" w:cs="Arial"/>
        </w:rPr>
        <w:t xml:space="preserve"> </w:t>
      </w:r>
      <w:r w:rsidR="001E13DA">
        <w:rPr>
          <w:rFonts w:ascii="Lato" w:hAnsi="Lato" w:cs="Arial"/>
        </w:rPr>
        <w:t xml:space="preserve">de esta Institución </w:t>
      </w:r>
      <w:r w:rsidRPr="003E7253">
        <w:rPr>
          <w:rFonts w:ascii="Lato" w:hAnsi="Lato" w:cs="Arial"/>
        </w:rPr>
        <w:t xml:space="preserve">para </w:t>
      </w:r>
      <w:r w:rsidR="001E13DA">
        <w:rPr>
          <w:rFonts w:ascii="Lato" w:hAnsi="Lato" w:cs="Arial"/>
        </w:rPr>
        <w:t xml:space="preserve">informar lo solicitado, en los términos siguientes: </w:t>
      </w:r>
    </w:p>
    <w:p w:rsidR="00BD26DA" w:rsidRDefault="00BD26DA" w:rsidP="00BD26DA">
      <w:pPr>
        <w:spacing w:line="360" w:lineRule="auto"/>
        <w:jc w:val="both"/>
        <w:rPr>
          <w:rFonts w:ascii="Lato" w:hAnsi="Lato" w:cs="Arial"/>
        </w:rPr>
      </w:pPr>
    </w:p>
    <w:p w:rsidR="001E13DA" w:rsidRPr="004779F3" w:rsidRDefault="001E13DA" w:rsidP="00BD26DA">
      <w:pPr>
        <w:spacing w:line="360" w:lineRule="auto"/>
        <w:jc w:val="both"/>
        <w:rPr>
          <w:rFonts w:ascii="Lato" w:hAnsi="Lato" w:cs="Arial"/>
          <w:i/>
          <w:sz w:val="22"/>
          <w:szCs w:val="22"/>
        </w:rPr>
      </w:pPr>
      <w:r w:rsidRPr="004779F3">
        <w:rPr>
          <w:rFonts w:ascii="Lato" w:hAnsi="Lato" w:cs="Arial"/>
          <w:sz w:val="22"/>
          <w:szCs w:val="22"/>
        </w:rPr>
        <w:t>“</w:t>
      </w:r>
      <w:r w:rsidRPr="004779F3">
        <w:rPr>
          <w:rFonts w:ascii="Lato" w:hAnsi="Lato" w:cs="Arial"/>
          <w:i/>
          <w:sz w:val="22"/>
          <w:szCs w:val="22"/>
        </w:rPr>
        <w:t>(…)</w:t>
      </w:r>
      <w:r w:rsidR="00F4051D" w:rsidRPr="004779F3">
        <w:rPr>
          <w:rFonts w:ascii="Lato" w:hAnsi="Lato" w:cs="Arial"/>
          <w:i/>
          <w:sz w:val="22"/>
          <w:szCs w:val="22"/>
        </w:rPr>
        <w:t xml:space="preserve"> </w:t>
      </w:r>
      <w:r w:rsidRPr="004779F3">
        <w:rPr>
          <w:rFonts w:ascii="Lato" w:hAnsi="Lato" w:cs="Arial"/>
          <w:i/>
          <w:sz w:val="22"/>
          <w:szCs w:val="22"/>
        </w:rPr>
        <w:t xml:space="preserve">al respecto me permito manifestarle que en virtud de las actividades que realiza el Poder Judicial del Estado de Baja California, la información que solicita </w:t>
      </w:r>
      <w:r w:rsidRPr="004779F3">
        <w:rPr>
          <w:rFonts w:ascii="Lato" w:hAnsi="Lato" w:cs="Arial"/>
          <w:b/>
          <w:i/>
          <w:sz w:val="22"/>
          <w:szCs w:val="22"/>
        </w:rPr>
        <w:t>no es competencia de esta institución</w:t>
      </w:r>
      <w:r w:rsidRPr="004779F3">
        <w:rPr>
          <w:rFonts w:ascii="Lato" w:hAnsi="Lato" w:cs="Arial"/>
          <w:i/>
          <w:sz w:val="22"/>
          <w:szCs w:val="22"/>
        </w:rPr>
        <w:t xml:space="preserve">, sin embargo, puede solicitar la información a la Procuraduría General de Justicia del Estado, directamente al Poder Ejecutivo del Estado de Baja California, quien tiene su propio portal de transparencia, al cual puede Usted </w:t>
      </w:r>
      <w:proofErr w:type="spellStart"/>
      <w:r w:rsidRPr="004779F3">
        <w:rPr>
          <w:rFonts w:ascii="Lato" w:hAnsi="Lato" w:cs="Arial"/>
          <w:i/>
          <w:sz w:val="22"/>
          <w:szCs w:val="22"/>
        </w:rPr>
        <w:t>accesar</w:t>
      </w:r>
      <w:proofErr w:type="spellEnd"/>
      <w:r w:rsidR="004779F3">
        <w:rPr>
          <w:rFonts w:ascii="Lato" w:hAnsi="Lato" w:cs="Arial"/>
          <w:i/>
          <w:sz w:val="22"/>
          <w:szCs w:val="22"/>
        </w:rPr>
        <w:t xml:space="preserve"> </w:t>
      </w:r>
      <w:r w:rsidRPr="004779F3">
        <w:rPr>
          <w:rFonts w:ascii="Lato" w:hAnsi="Lato" w:cs="Arial"/>
          <w:i/>
          <w:sz w:val="22"/>
          <w:szCs w:val="22"/>
        </w:rPr>
        <w:t xml:space="preserve">en la dirección </w:t>
      </w:r>
      <w:hyperlink r:id="rId8" w:history="1">
        <w:r w:rsidRPr="004779F3">
          <w:rPr>
            <w:rStyle w:val="Hipervnculo"/>
            <w:rFonts w:ascii="Lato" w:hAnsi="Lato" w:cs="Arial"/>
            <w:i/>
            <w:color w:val="auto"/>
            <w:sz w:val="22"/>
            <w:szCs w:val="22"/>
          </w:rPr>
          <w:t>http://www.transparenciabc.gob.mx</w:t>
        </w:r>
      </w:hyperlink>
      <w:r w:rsidRPr="004779F3">
        <w:rPr>
          <w:rFonts w:ascii="Lato" w:hAnsi="Lato" w:cs="Arial"/>
          <w:i/>
          <w:sz w:val="22"/>
          <w:szCs w:val="22"/>
        </w:rPr>
        <w:t>.</w:t>
      </w:r>
    </w:p>
    <w:p w:rsidR="001E13DA" w:rsidRPr="004779F3" w:rsidRDefault="001E13DA" w:rsidP="00BD26DA">
      <w:pPr>
        <w:spacing w:line="360" w:lineRule="auto"/>
        <w:jc w:val="both"/>
        <w:rPr>
          <w:rFonts w:ascii="Lato" w:hAnsi="Lato" w:cs="Arial"/>
          <w:i/>
          <w:sz w:val="22"/>
          <w:szCs w:val="22"/>
        </w:rPr>
      </w:pPr>
      <w:r w:rsidRPr="004779F3">
        <w:rPr>
          <w:rFonts w:ascii="Lato" w:hAnsi="Lato" w:cs="Arial"/>
          <w:i/>
          <w:sz w:val="22"/>
          <w:szCs w:val="22"/>
        </w:rPr>
        <w:t>Lo anterior con fundamento en el Considerando Segundo del “</w:t>
      </w:r>
      <w:r w:rsidRPr="004779F3">
        <w:rPr>
          <w:rFonts w:ascii="Lato" w:hAnsi="Lato" w:cs="Arial"/>
          <w:b/>
          <w:i/>
          <w:sz w:val="22"/>
          <w:szCs w:val="22"/>
        </w:rPr>
        <w:t>Acuerdo mediante el cual el Pleno del Instituto Federal de Telecomunicaciones expide los Lineamientos de Colaboración en Materia de Seguridad y Justicia y modifica el plan técnico fundamental de numeración, publicado el 21 de junio de 1966</w:t>
      </w:r>
      <w:r w:rsidRPr="004779F3">
        <w:rPr>
          <w:rFonts w:ascii="Lato" w:hAnsi="Lato" w:cs="Arial"/>
          <w:i/>
          <w:sz w:val="22"/>
          <w:szCs w:val="22"/>
        </w:rPr>
        <w:t>”, publicado en el Diario Oficial de la Federación de fecha 02 de diciembre de 2015, mismo que a la letra dice:</w:t>
      </w:r>
    </w:p>
    <w:p w:rsidR="004779F3" w:rsidRPr="004779F3" w:rsidRDefault="001E13DA" w:rsidP="00BD26DA">
      <w:pPr>
        <w:spacing w:line="360" w:lineRule="auto"/>
        <w:jc w:val="both"/>
        <w:rPr>
          <w:rFonts w:ascii="Lato" w:hAnsi="Lato" w:cs="Arial"/>
          <w:i/>
          <w:sz w:val="22"/>
          <w:szCs w:val="22"/>
        </w:rPr>
      </w:pPr>
      <w:r w:rsidRPr="004779F3">
        <w:rPr>
          <w:rFonts w:ascii="Lato" w:hAnsi="Lato" w:cs="Arial"/>
          <w:i/>
          <w:sz w:val="22"/>
          <w:szCs w:val="22"/>
        </w:rPr>
        <w:t xml:space="preserve">Segundo.- Es obligación del Estado Mexicano garantizar la seguridad pública, la seguridad nacional así como una efectiva procuración de justicia, por lo que en la </w:t>
      </w:r>
      <w:proofErr w:type="spellStart"/>
      <w:r w:rsidRPr="004779F3">
        <w:rPr>
          <w:rFonts w:ascii="Lato" w:hAnsi="Lato" w:cs="Arial"/>
          <w:i/>
          <w:sz w:val="22"/>
          <w:szCs w:val="22"/>
        </w:rPr>
        <w:t>LFTR</w:t>
      </w:r>
      <w:proofErr w:type="spellEnd"/>
      <w:r w:rsidRPr="004779F3">
        <w:rPr>
          <w:rFonts w:ascii="Lato" w:hAnsi="Lato" w:cs="Arial"/>
          <w:i/>
          <w:sz w:val="22"/>
          <w:szCs w:val="22"/>
        </w:rPr>
        <w:t xml:space="preserve"> se incluyó el Título Octavo “De la colaboración con la Justicia”, que establece la obligación de los Concesionarios de telecomunicaciones </w:t>
      </w:r>
      <w:r w:rsidRPr="004779F3">
        <w:rPr>
          <w:rFonts w:ascii="Lato" w:hAnsi="Lato" w:cs="Arial"/>
          <w:i/>
          <w:sz w:val="22"/>
          <w:szCs w:val="22"/>
        </w:rPr>
        <w:lastRenderedPageBreak/>
        <w:t>y autorizados de atender todo mandamiento por escrito, fundado y motivado de la autoridad competente, en los términos que establezcan las leyes</w:t>
      </w:r>
      <w:r w:rsidR="004779F3" w:rsidRPr="004779F3">
        <w:rPr>
          <w:rFonts w:ascii="Lato" w:hAnsi="Lato" w:cs="Arial"/>
          <w:i/>
          <w:sz w:val="22"/>
          <w:szCs w:val="22"/>
        </w:rPr>
        <w:t xml:space="preserve">. </w:t>
      </w:r>
    </w:p>
    <w:p w:rsidR="001E13DA" w:rsidRPr="004779F3" w:rsidRDefault="004779F3" w:rsidP="00BD26DA">
      <w:pPr>
        <w:spacing w:line="360" w:lineRule="auto"/>
        <w:jc w:val="both"/>
        <w:rPr>
          <w:rFonts w:ascii="Lato" w:hAnsi="Lato" w:cs="Arial"/>
          <w:i/>
          <w:sz w:val="22"/>
          <w:szCs w:val="22"/>
        </w:rPr>
      </w:pPr>
      <w:r w:rsidRPr="004779F3">
        <w:rPr>
          <w:rFonts w:ascii="Lato" w:hAnsi="Lato" w:cs="Arial"/>
          <w:i/>
          <w:sz w:val="22"/>
          <w:szCs w:val="22"/>
        </w:rPr>
        <w:t xml:space="preserve">En ese tenor, el artículo transitorio VIGÉSIMO SEGUNDO de la </w:t>
      </w:r>
      <w:proofErr w:type="spellStart"/>
      <w:r w:rsidRPr="004779F3">
        <w:rPr>
          <w:rFonts w:ascii="Lato" w:hAnsi="Lato" w:cs="Arial"/>
          <w:i/>
          <w:sz w:val="22"/>
          <w:szCs w:val="22"/>
        </w:rPr>
        <w:t>LFTR</w:t>
      </w:r>
      <w:proofErr w:type="spellEnd"/>
      <w:r w:rsidRPr="004779F3">
        <w:rPr>
          <w:rFonts w:ascii="Lato" w:hAnsi="Lato" w:cs="Arial"/>
          <w:i/>
          <w:sz w:val="22"/>
          <w:szCs w:val="22"/>
        </w:rPr>
        <w:t xml:space="preserve"> mandata que el Instituto deberá emitir las disposiciones administrativas de carácter general a que se refiere el Título Octavo de la </w:t>
      </w:r>
      <w:proofErr w:type="spellStart"/>
      <w:r w:rsidRPr="004779F3">
        <w:rPr>
          <w:rFonts w:ascii="Lato" w:hAnsi="Lato" w:cs="Arial"/>
          <w:i/>
          <w:sz w:val="22"/>
          <w:szCs w:val="22"/>
        </w:rPr>
        <w:t>LFTR</w:t>
      </w:r>
      <w:proofErr w:type="spellEnd"/>
      <w:r w:rsidRPr="004779F3">
        <w:rPr>
          <w:rFonts w:ascii="Lato" w:hAnsi="Lato" w:cs="Arial"/>
          <w:i/>
          <w:sz w:val="22"/>
          <w:szCs w:val="22"/>
        </w:rPr>
        <w:t>.</w:t>
      </w:r>
    </w:p>
    <w:p w:rsidR="004779F3" w:rsidRDefault="004779F3" w:rsidP="00BD26DA">
      <w:pPr>
        <w:spacing w:line="360" w:lineRule="auto"/>
        <w:jc w:val="both"/>
        <w:rPr>
          <w:rFonts w:ascii="Lato" w:hAnsi="Lato" w:cs="Arial"/>
          <w:i/>
        </w:rPr>
      </w:pPr>
      <w:proofErr w:type="spellStart"/>
      <w:r w:rsidRPr="004779F3">
        <w:rPr>
          <w:rFonts w:ascii="Lato" w:hAnsi="Lato" w:cs="Arial"/>
          <w:i/>
          <w:sz w:val="22"/>
          <w:szCs w:val="22"/>
        </w:rPr>
        <w:t>Asímismo</w:t>
      </w:r>
      <w:proofErr w:type="spellEnd"/>
      <w:r w:rsidRPr="004779F3">
        <w:rPr>
          <w:rFonts w:ascii="Lato" w:hAnsi="Lato" w:cs="Arial"/>
          <w:i/>
          <w:sz w:val="22"/>
          <w:szCs w:val="22"/>
        </w:rPr>
        <w:t xml:space="preserve">, se establece que los </w:t>
      </w:r>
      <w:r w:rsidRPr="004779F3">
        <w:rPr>
          <w:rFonts w:ascii="Lato" w:hAnsi="Lato" w:cs="Arial"/>
          <w:i/>
          <w:sz w:val="22"/>
          <w:szCs w:val="22"/>
          <w:u w:val="single"/>
        </w:rPr>
        <w:t>titulares de las instancias de seguridad y procuración de justicia</w:t>
      </w:r>
      <w:r w:rsidRPr="004779F3">
        <w:rPr>
          <w:rFonts w:ascii="Lato" w:hAnsi="Lato" w:cs="Arial"/>
          <w:i/>
          <w:sz w:val="22"/>
          <w:szCs w:val="22"/>
        </w:rPr>
        <w:t xml:space="preserve">, designarán a los servidores públicos encargados de gestionar los requerimientos que se realicen a los Concesionarios y Autorizados para recibir la información correspondiente, mediante acuerdos publicados en el </w:t>
      </w:r>
      <w:proofErr w:type="spellStart"/>
      <w:r w:rsidRPr="004779F3">
        <w:rPr>
          <w:rFonts w:ascii="Lato" w:hAnsi="Lato" w:cs="Arial"/>
          <w:i/>
          <w:sz w:val="22"/>
          <w:szCs w:val="22"/>
        </w:rPr>
        <w:t>DOF</w:t>
      </w:r>
      <w:proofErr w:type="spellEnd"/>
      <w:r w:rsidRPr="004779F3">
        <w:rPr>
          <w:rFonts w:ascii="Lato" w:hAnsi="Lato" w:cs="Arial"/>
          <w:i/>
          <w:sz w:val="22"/>
          <w:szCs w:val="22"/>
        </w:rPr>
        <w:t xml:space="preserve"> (…).</w:t>
      </w:r>
      <w:r>
        <w:rPr>
          <w:rFonts w:ascii="Lato" w:hAnsi="Lato" w:cs="Arial"/>
          <w:i/>
        </w:rPr>
        <w:t xml:space="preserve"> “.</w:t>
      </w:r>
    </w:p>
    <w:p w:rsidR="00F4051D" w:rsidRPr="003E7253" w:rsidRDefault="00F4051D" w:rsidP="00F4051D">
      <w:pPr>
        <w:spacing w:line="360" w:lineRule="auto"/>
        <w:ind w:right="-279"/>
        <w:jc w:val="both"/>
        <w:rPr>
          <w:rFonts w:ascii="Lato" w:hAnsi="Lato" w:cs="Arial"/>
        </w:rPr>
      </w:pPr>
    </w:p>
    <w:p w:rsidR="00F4051D" w:rsidRPr="003E7253" w:rsidRDefault="00F4051D" w:rsidP="00BD26DA">
      <w:pPr>
        <w:spacing w:line="360" w:lineRule="auto"/>
        <w:jc w:val="both"/>
        <w:rPr>
          <w:rFonts w:ascii="Lato" w:hAnsi="Lato" w:cs="Arial"/>
        </w:rPr>
      </w:pPr>
      <w:r w:rsidRPr="00BD26DA">
        <w:rPr>
          <w:rFonts w:ascii="Lato" w:hAnsi="Lato" w:cs="Arial"/>
          <w:i/>
          <w:sz w:val="22"/>
          <w:szCs w:val="22"/>
        </w:rPr>
        <w:t>III</w:t>
      </w:r>
      <w:r w:rsidRPr="003E7253">
        <w:rPr>
          <w:rFonts w:ascii="Lato" w:hAnsi="Lato" w:cs="Arial"/>
          <w:b/>
        </w:rPr>
        <w:t>.- RECURSO DE REVISIÓN</w:t>
      </w:r>
      <w:r w:rsidRPr="003E7253">
        <w:rPr>
          <w:rFonts w:ascii="Lato" w:hAnsi="Lato" w:cs="Arial"/>
        </w:rPr>
        <w:t>. El solicitante, inconforme con la respuesta otorgada, presento Recurso de Revisión, con motivo de la declaratoria de incompetencia</w:t>
      </w:r>
      <w:r w:rsidR="003E7253" w:rsidRPr="003E7253">
        <w:rPr>
          <w:rFonts w:ascii="Lato" w:hAnsi="Lato" w:cs="Arial"/>
        </w:rPr>
        <w:t>, admitiéndose por el Órgano Garante</w:t>
      </w:r>
      <w:r w:rsidR="003E7253" w:rsidRPr="003E7253">
        <w:rPr>
          <w:rFonts w:ascii="Lato" w:hAnsi="Lato" w:cs="Arial"/>
          <w:b/>
        </w:rPr>
        <w:t xml:space="preserve"> e</w:t>
      </w:r>
      <w:r w:rsidRPr="003E7253">
        <w:rPr>
          <w:rFonts w:ascii="Lato" w:hAnsi="Lato" w:cs="Arial"/>
        </w:rPr>
        <w:t xml:space="preserve">n fecha 14 de marzo de 2018, asignándole el número de expediente </w:t>
      </w:r>
      <w:r w:rsidRPr="003E7253">
        <w:rPr>
          <w:rFonts w:ascii="Lato" w:hAnsi="Lato" w:cs="Arial"/>
          <w:b/>
        </w:rPr>
        <w:t>REV/050/2018</w:t>
      </w:r>
      <w:r w:rsidR="003E7253" w:rsidRPr="003E7253">
        <w:rPr>
          <w:rFonts w:ascii="Lato" w:hAnsi="Lato" w:cs="Arial"/>
          <w:b/>
        </w:rPr>
        <w:t xml:space="preserve"> </w:t>
      </w:r>
      <w:r w:rsidR="003E7253" w:rsidRPr="003E7253">
        <w:rPr>
          <w:rFonts w:ascii="Lato" w:hAnsi="Lato" w:cs="Arial"/>
        </w:rPr>
        <w:t>y</w:t>
      </w:r>
      <w:r w:rsidR="003E7253" w:rsidRPr="003E7253">
        <w:rPr>
          <w:rFonts w:ascii="Lato" w:hAnsi="Lato" w:cs="Arial"/>
          <w:b/>
        </w:rPr>
        <w:t xml:space="preserve"> s</w:t>
      </w:r>
      <w:r w:rsidRPr="003E7253">
        <w:rPr>
          <w:rFonts w:ascii="Lato" w:hAnsi="Lato" w:cs="Arial"/>
        </w:rPr>
        <w:t>eguido el procedimiento</w:t>
      </w:r>
      <w:r w:rsidR="003E7253" w:rsidRPr="003E7253">
        <w:rPr>
          <w:rFonts w:ascii="Lato" w:hAnsi="Lato" w:cs="Arial"/>
        </w:rPr>
        <w:t xml:space="preserve"> legalmente establecido,</w:t>
      </w:r>
      <w:r w:rsidR="004779F3">
        <w:rPr>
          <w:rFonts w:ascii="Lato" w:hAnsi="Lato" w:cs="Arial"/>
        </w:rPr>
        <w:t xml:space="preserve"> </w:t>
      </w:r>
      <w:r w:rsidRPr="003E7253">
        <w:rPr>
          <w:rFonts w:ascii="Lato" w:hAnsi="Lato" w:cs="Arial"/>
        </w:rPr>
        <w:t xml:space="preserve">el Pleno del Instituto de Transparencia y Acceso a la Información Pública y Protección de Datos Personales del Estado de Baja California, procedió a emitir resolución de fecha 03 de julio de 2018, en cuyo punto </w:t>
      </w:r>
      <w:r w:rsidR="003E7253" w:rsidRPr="003E7253">
        <w:rPr>
          <w:rFonts w:ascii="Lato" w:hAnsi="Lato" w:cs="Arial"/>
        </w:rPr>
        <w:t xml:space="preserve">primero </w:t>
      </w:r>
      <w:r w:rsidRPr="003E7253">
        <w:rPr>
          <w:rFonts w:ascii="Lato" w:hAnsi="Lato" w:cs="Arial"/>
        </w:rPr>
        <w:t xml:space="preserve">resolutivo determinó lo siguiente: </w:t>
      </w:r>
    </w:p>
    <w:p w:rsidR="003E7253" w:rsidRPr="00BD26DA" w:rsidRDefault="003E7253" w:rsidP="00BD26DA">
      <w:pPr>
        <w:spacing w:line="360" w:lineRule="auto"/>
        <w:jc w:val="both"/>
        <w:rPr>
          <w:rStyle w:val="CuerpodeltextoEspaciado3pto"/>
          <w:rFonts w:ascii="Lato" w:hAnsi="Lato"/>
          <w:b/>
          <w:i/>
          <w:sz w:val="16"/>
          <w:szCs w:val="24"/>
        </w:rPr>
      </w:pPr>
    </w:p>
    <w:p w:rsidR="00F4051D" w:rsidRPr="001D02F7" w:rsidRDefault="003E7253" w:rsidP="00BD26DA">
      <w:pPr>
        <w:spacing w:line="360" w:lineRule="auto"/>
        <w:jc w:val="both"/>
        <w:rPr>
          <w:rFonts w:ascii="Lato" w:hAnsi="Lato"/>
          <w:i/>
        </w:rPr>
      </w:pPr>
      <w:r w:rsidRPr="003E7253">
        <w:rPr>
          <w:rFonts w:ascii="Lato" w:hAnsi="Lato"/>
          <w:i/>
        </w:rPr>
        <w:t>“</w:t>
      </w:r>
      <w:r w:rsidR="00F4051D" w:rsidRPr="002829EA">
        <w:rPr>
          <w:rFonts w:ascii="Lato" w:hAnsi="Lato"/>
          <w:i/>
          <w:sz w:val="22"/>
          <w:szCs w:val="22"/>
        </w:rPr>
        <w:t>PRIMERO: De conformidad con lo expuesto en los Considerandos Tercero y Cuarto, con fundamento en el artículo 144, fracción III, de la Ley de Transparencia y Acceso a la Información Pública para el Estado de Baja California; este Órgano Garante determina la respuesta del Sujeto Obligado,</w:t>
      </w:r>
      <w:r w:rsidR="00F4051D" w:rsidRPr="002829EA">
        <w:rPr>
          <w:rStyle w:val="Cuerpodeltexto9pto"/>
          <w:rFonts w:ascii="Lato" w:hAnsi="Lato"/>
          <w:i/>
          <w:sz w:val="22"/>
          <w:szCs w:val="22"/>
        </w:rPr>
        <w:t xml:space="preserve"> a</w:t>
      </w:r>
      <w:r w:rsidR="00F4051D" w:rsidRPr="002829EA">
        <w:rPr>
          <w:rFonts w:ascii="Lato" w:hAnsi="Lato"/>
          <w:i/>
          <w:sz w:val="22"/>
          <w:szCs w:val="22"/>
        </w:rPr>
        <w:t xml:space="preserve"> efecto de que funde y motive su incompetencia mediante resolución emitida por su Comité de Transparencia, en los términos anteriormente señalados</w:t>
      </w:r>
      <w:r w:rsidR="001D02F7">
        <w:rPr>
          <w:rFonts w:ascii="Lato" w:hAnsi="Lato"/>
          <w:i/>
        </w:rPr>
        <w:t>”.</w:t>
      </w:r>
    </w:p>
    <w:p w:rsidR="00F4051D" w:rsidRPr="00BD26DA" w:rsidRDefault="00F4051D" w:rsidP="00BD26DA">
      <w:pPr>
        <w:spacing w:line="360" w:lineRule="auto"/>
        <w:jc w:val="both"/>
        <w:rPr>
          <w:rStyle w:val="CuerpodeltextoEspaciado3pto"/>
          <w:rFonts w:ascii="Lato" w:hAnsi="Lato"/>
          <w:b/>
          <w:i/>
          <w:sz w:val="24"/>
          <w:szCs w:val="24"/>
        </w:rPr>
      </w:pPr>
    </w:p>
    <w:p w:rsidR="00F4051D" w:rsidRPr="001D02F7" w:rsidRDefault="00F4051D" w:rsidP="00BD26DA">
      <w:pPr>
        <w:spacing w:line="360" w:lineRule="auto"/>
        <w:jc w:val="both"/>
        <w:rPr>
          <w:rFonts w:ascii="Lato" w:hAnsi="Lato" w:cs="Arial"/>
          <w:b/>
        </w:rPr>
      </w:pPr>
      <w:r w:rsidRPr="001D02F7">
        <w:rPr>
          <w:rFonts w:ascii="Lato" w:hAnsi="Lato" w:cs="Arial"/>
        </w:rPr>
        <w:t>En virtud de dicha resolución y</w:t>
      </w:r>
      <w:r w:rsidR="003E7253" w:rsidRPr="001D02F7">
        <w:rPr>
          <w:rFonts w:ascii="Lato" w:hAnsi="Lato" w:cs="Arial"/>
        </w:rPr>
        <w:t xml:space="preserve"> </w:t>
      </w:r>
      <w:r w:rsidRPr="001D02F7">
        <w:rPr>
          <w:rFonts w:ascii="Lato" w:hAnsi="Lato" w:cs="Arial"/>
          <w:b/>
        </w:rPr>
        <w:t>C O N S I D E R A N D O</w:t>
      </w:r>
      <w:r w:rsidR="001D02F7" w:rsidRPr="001D02F7">
        <w:rPr>
          <w:rFonts w:ascii="Lato" w:hAnsi="Lato" w:cs="Arial"/>
          <w:b/>
        </w:rPr>
        <w:t>:</w:t>
      </w:r>
    </w:p>
    <w:p w:rsidR="00F4051D" w:rsidRPr="001D02F7" w:rsidRDefault="00F4051D" w:rsidP="00F4051D">
      <w:pPr>
        <w:ind w:right="-279"/>
        <w:jc w:val="center"/>
        <w:rPr>
          <w:rFonts w:ascii="Lato" w:hAnsi="Lato" w:cs="Arial"/>
          <w:b/>
        </w:rPr>
      </w:pPr>
    </w:p>
    <w:p w:rsidR="00F4051D" w:rsidRPr="001D02F7" w:rsidRDefault="00F4051D" w:rsidP="00F4051D">
      <w:pPr>
        <w:ind w:right="-279"/>
        <w:jc w:val="center"/>
        <w:rPr>
          <w:rFonts w:ascii="Lato" w:hAnsi="Lato" w:cs="Arial"/>
          <w:b/>
        </w:rPr>
      </w:pPr>
    </w:p>
    <w:p w:rsidR="00F4051D" w:rsidRPr="001D02F7" w:rsidRDefault="00F4051D" w:rsidP="00BD26DA">
      <w:pPr>
        <w:spacing w:line="360" w:lineRule="auto"/>
        <w:jc w:val="both"/>
        <w:rPr>
          <w:rFonts w:ascii="Lato" w:hAnsi="Lato" w:cs="Arial"/>
        </w:rPr>
      </w:pPr>
      <w:r w:rsidRPr="001D02F7">
        <w:rPr>
          <w:rFonts w:ascii="Lato" w:hAnsi="Lato" w:cs="Arial"/>
          <w:b/>
        </w:rPr>
        <w:t>PRIMERO:</w:t>
      </w:r>
      <w:r w:rsidRPr="001D02F7">
        <w:rPr>
          <w:rFonts w:ascii="Lato" w:hAnsi="Lato" w:cs="Arial"/>
        </w:rPr>
        <w:t xml:space="preserve"> </w:t>
      </w:r>
      <w:r w:rsidRPr="001D02F7">
        <w:rPr>
          <w:rFonts w:ascii="Lato" w:hAnsi="Lato" w:cs="Arial"/>
          <w:b/>
        </w:rPr>
        <w:t>COMPETENCIA DEL COMITÉ DE TRANSPARENCIA.</w:t>
      </w:r>
      <w:r w:rsidRPr="001D02F7">
        <w:rPr>
          <w:rFonts w:ascii="Lato" w:hAnsi="Lato" w:cs="Arial"/>
        </w:rPr>
        <w:t xml:space="preserve"> Con fundamento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es</w:t>
      </w:r>
      <w:r w:rsidR="003E7253" w:rsidRPr="001D02F7">
        <w:rPr>
          <w:rFonts w:ascii="Lato" w:hAnsi="Lato" w:cs="Arial"/>
        </w:rPr>
        <w:t>te C</w:t>
      </w:r>
      <w:r w:rsidRPr="001D02F7">
        <w:rPr>
          <w:rFonts w:ascii="Lato" w:hAnsi="Lato" w:cs="Arial"/>
        </w:rPr>
        <w:t xml:space="preserve">omité es competente para emitir la presente resolución. </w:t>
      </w:r>
    </w:p>
    <w:p w:rsidR="00F4051D" w:rsidRPr="001D02F7" w:rsidRDefault="00F4051D" w:rsidP="00F4051D">
      <w:pPr>
        <w:ind w:right="-279"/>
        <w:jc w:val="center"/>
        <w:rPr>
          <w:rFonts w:ascii="Lato" w:hAnsi="Lato" w:cs="Arial"/>
          <w:b/>
        </w:rPr>
      </w:pPr>
    </w:p>
    <w:p w:rsidR="00F4051D" w:rsidRPr="001D02F7" w:rsidRDefault="003E7253" w:rsidP="00BD26DA">
      <w:pPr>
        <w:spacing w:line="360" w:lineRule="auto"/>
        <w:jc w:val="both"/>
        <w:rPr>
          <w:rFonts w:ascii="Lato" w:hAnsi="Lato" w:cs="Arial"/>
        </w:rPr>
      </w:pPr>
      <w:r w:rsidRPr="001D02F7">
        <w:rPr>
          <w:rFonts w:ascii="Lato" w:hAnsi="Lato" w:cs="Arial"/>
          <w:b/>
        </w:rPr>
        <w:t>S</w:t>
      </w:r>
      <w:r w:rsidR="00F4051D" w:rsidRPr="001D02F7">
        <w:rPr>
          <w:rFonts w:ascii="Lato" w:hAnsi="Lato" w:cs="Arial"/>
          <w:b/>
        </w:rPr>
        <w:t>EGUNDO:</w:t>
      </w:r>
      <w:r w:rsidR="00F4051D" w:rsidRPr="001D02F7">
        <w:rPr>
          <w:rFonts w:ascii="Lato" w:hAnsi="Lato" w:cs="Arial"/>
        </w:rPr>
        <w:t xml:space="preserve"> </w:t>
      </w:r>
      <w:r w:rsidR="00F4051D" w:rsidRPr="00BC4FD2">
        <w:rPr>
          <w:rFonts w:ascii="Lato" w:hAnsi="Lato" w:cs="Arial"/>
          <w:b/>
        </w:rPr>
        <w:t>CUMPLIMIENTO DE LA RE</w:t>
      </w:r>
      <w:r w:rsidR="00BC4FD2" w:rsidRPr="00BC4FD2">
        <w:rPr>
          <w:rFonts w:ascii="Lato" w:hAnsi="Lato" w:cs="Arial"/>
          <w:b/>
        </w:rPr>
        <w:t>S</w:t>
      </w:r>
      <w:r w:rsidR="00F4051D" w:rsidRPr="00BC4FD2">
        <w:rPr>
          <w:rFonts w:ascii="Lato" w:hAnsi="Lato" w:cs="Arial"/>
          <w:b/>
        </w:rPr>
        <w:t>OLUCION DE FECHA 03 DE JULIO DE 2018, DICTADA POR EL H. PLENO DEL INSTITUTO DE TRANSPARENCIA, ACCESO A LA INFORMACIÓN PÚBLICA Y PROTECCIÓN DE DATOS PERSONALES DEL ESTADO DE BAJA CALIFORNI</w:t>
      </w:r>
      <w:r w:rsidR="00F4051D" w:rsidRPr="001D02F7">
        <w:rPr>
          <w:rFonts w:ascii="Lato" w:hAnsi="Lato" w:cs="Arial"/>
        </w:rPr>
        <w:t>A</w:t>
      </w:r>
      <w:r w:rsidR="004C77D6">
        <w:rPr>
          <w:rFonts w:ascii="Lato" w:hAnsi="Lato" w:cs="Arial"/>
        </w:rPr>
        <w:t>.</w:t>
      </w:r>
    </w:p>
    <w:p w:rsidR="00F4051D" w:rsidRPr="001D02F7" w:rsidRDefault="00F4051D" w:rsidP="00BD26DA">
      <w:pPr>
        <w:spacing w:line="360" w:lineRule="auto"/>
        <w:jc w:val="both"/>
        <w:rPr>
          <w:rFonts w:ascii="Lato" w:hAnsi="Lato" w:cs="Arial"/>
        </w:rPr>
      </w:pPr>
      <w:r w:rsidRPr="00BC4FD2">
        <w:rPr>
          <w:rFonts w:ascii="Lato" w:hAnsi="Lato" w:cs="Arial"/>
          <w:b/>
        </w:rPr>
        <w:t xml:space="preserve">A efecto de determinar la competencia </w:t>
      </w:r>
      <w:r w:rsidR="001D02F7" w:rsidRPr="00BC4FD2">
        <w:rPr>
          <w:rFonts w:ascii="Lato" w:hAnsi="Lato" w:cs="Arial"/>
          <w:b/>
        </w:rPr>
        <w:t>del Poder Judicial del Estado de Baja California</w:t>
      </w:r>
      <w:r w:rsidR="001D02F7">
        <w:rPr>
          <w:rFonts w:ascii="Lato" w:hAnsi="Lato" w:cs="Arial"/>
        </w:rPr>
        <w:t>,</w:t>
      </w:r>
      <w:r w:rsidRPr="001D02F7">
        <w:rPr>
          <w:rFonts w:ascii="Lato" w:hAnsi="Lato" w:cs="Arial"/>
        </w:rPr>
        <w:t xml:space="preserve"> </w:t>
      </w:r>
      <w:r w:rsidR="00BC4FD2" w:rsidRPr="00BC4FD2">
        <w:rPr>
          <w:rFonts w:ascii="Lato" w:hAnsi="Lato" w:cs="Arial"/>
          <w:b/>
        </w:rPr>
        <w:t>en la materia de interés del peticionario de la información</w:t>
      </w:r>
      <w:r w:rsidR="00BC4FD2">
        <w:rPr>
          <w:rFonts w:ascii="Lato" w:hAnsi="Lato" w:cs="Arial"/>
        </w:rPr>
        <w:t xml:space="preserve">, </w:t>
      </w:r>
      <w:r w:rsidRPr="001D02F7">
        <w:rPr>
          <w:rFonts w:ascii="Lato" w:hAnsi="Lato" w:cs="Arial"/>
        </w:rPr>
        <w:t>es necesario partir de la solicitud de acceso a la información pública realizada, así como de la respuesta que se le dio a la misma,</w:t>
      </w:r>
      <w:r w:rsidR="004779F3">
        <w:rPr>
          <w:rFonts w:ascii="Lato" w:hAnsi="Lato" w:cs="Arial"/>
        </w:rPr>
        <w:t xml:space="preserve"> </w:t>
      </w:r>
      <w:r w:rsidRPr="001D02F7">
        <w:rPr>
          <w:rFonts w:ascii="Lato" w:hAnsi="Lato" w:cs="Arial"/>
        </w:rPr>
        <w:t xml:space="preserve">la cual fue formulada y contestada en los sentidos siguientes: </w:t>
      </w:r>
    </w:p>
    <w:p w:rsidR="00F4051D" w:rsidRPr="001D02F7" w:rsidRDefault="00F4051D" w:rsidP="00F4051D">
      <w:pPr>
        <w:ind w:right="-279"/>
        <w:jc w:val="center"/>
        <w:rPr>
          <w:rFonts w:ascii="Lato" w:hAnsi="Lato" w:cs="Arial"/>
          <w:b/>
        </w:rPr>
      </w:pPr>
    </w:p>
    <w:p w:rsidR="00F4051D" w:rsidRDefault="00F4051D" w:rsidP="00BD26DA">
      <w:pPr>
        <w:spacing w:line="360" w:lineRule="auto"/>
        <w:jc w:val="both"/>
        <w:rPr>
          <w:rFonts w:ascii="Lato" w:hAnsi="Lato"/>
          <w:b/>
          <w:iCs/>
        </w:rPr>
      </w:pPr>
      <w:r w:rsidRPr="001D02F7">
        <w:rPr>
          <w:rFonts w:ascii="Lato" w:hAnsi="Lato"/>
          <w:b/>
          <w:i/>
        </w:rPr>
        <w:t>¨</w:t>
      </w:r>
      <w:r w:rsidRPr="002829EA">
        <w:rPr>
          <w:rFonts w:ascii="Lato" w:hAnsi="Lato"/>
          <w:i/>
          <w:sz w:val="22"/>
          <w:szCs w:val="22"/>
        </w:rPr>
        <w:t>Amablemente, solicito acceso a la siguiente información pública en poder del</w:t>
      </w:r>
      <w:r w:rsidR="004779F3" w:rsidRPr="002829EA">
        <w:rPr>
          <w:rFonts w:ascii="Lato" w:hAnsi="Lato"/>
          <w:i/>
          <w:sz w:val="22"/>
          <w:szCs w:val="22"/>
        </w:rPr>
        <w:t xml:space="preserve"> </w:t>
      </w:r>
      <w:r w:rsidRPr="002829EA">
        <w:rPr>
          <w:rFonts w:ascii="Lato" w:hAnsi="Lato"/>
          <w:i/>
          <w:sz w:val="22"/>
          <w:szCs w:val="22"/>
        </w:rPr>
        <w:t>Tribunal Superior de Justicia del Estado de Baja California, según las obligaciones descritas en los Lineamientos de Colaboración en Materia de Seguridad y Justicia publicados por dicha institución el 02 de diciembre de 2015 en el Diario Oficial de la Federación: 1. Copia de los acuerdos publicados en el DOF para designar a los Servidores Públicos del Tribunal Superior de Justicia del Estado de Baja California encargados de gestionar los requerimientos que se realicen a los Concesionarios y Autorizados de telecomunicaciones para recibir la información en materia de seguridad y justicia, como lo detallan el considerando Segundo y el lineamiento Cuarto de los Lineamientos de Colaboración en Materia de Seguridad y Justicia</w:t>
      </w:r>
      <w:r w:rsidRPr="002829EA">
        <w:rPr>
          <w:rFonts w:ascii="Lato" w:hAnsi="Lato"/>
          <w:i/>
        </w:rPr>
        <w:t>"</w:t>
      </w:r>
      <w:r w:rsidRPr="002829EA">
        <w:rPr>
          <w:rFonts w:ascii="Lato" w:hAnsi="Lato"/>
          <w:iCs/>
        </w:rPr>
        <w:t xml:space="preserve"> (Sic)</w:t>
      </w:r>
      <w:r w:rsidR="004C77D6" w:rsidRPr="002829EA">
        <w:rPr>
          <w:rFonts w:ascii="Lato" w:hAnsi="Lato"/>
          <w:iCs/>
        </w:rPr>
        <w:t>.</w:t>
      </w:r>
    </w:p>
    <w:p w:rsidR="004C77D6" w:rsidRPr="00BD26DA" w:rsidRDefault="004C77D6" w:rsidP="004C77D6">
      <w:pPr>
        <w:spacing w:line="360" w:lineRule="auto"/>
        <w:ind w:right="-279"/>
        <w:jc w:val="both"/>
        <w:rPr>
          <w:rFonts w:ascii="Lato" w:hAnsi="Lato"/>
          <w:b/>
          <w:i/>
          <w:sz w:val="18"/>
        </w:rPr>
      </w:pPr>
    </w:p>
    <w:p w:rsidR="00F4051D" w:rsidRPr="001D02F7" w:rsidRDefault="002829EA" w:rsidP="00BD26DA">
      <w:pPr>
        <w:spacing w:line="360" w:lineRule="auto"/>
        <w:jc w:val="both"/>
        <w:rPr>
          <w:rFonts w:ascii="Lato" w:hAnsi="Lato" w:cs="Arial"/>
        </w:rPr>
      </w:pPr>
      <w:r>
        <w:rPr>
          <w:rFonts w:ascii="Lato" w:hAnsi="Lato" w:cs="Arial"/>
        </w:rPr>
        <w:t>Como ya se expuso en los antecedentes de este instrumento, e</w:t>
      </w:r>
      <w:r w:rsidR="00F4051D" w:rsidRPr="001D02F7">
        <w:rPr>
          <w:rFonts w:ascii="Lato" w:hAnsi="Lato" w:cs="Arial"/>
        </w:rPr>
        <w:t xml:space="preserve">n base a lo anterior la Unidad de Trasparencia dio respuesta a la solicitud realizada en los términos siguientes: </w:t>
      </w:r>
    </w:p>
    <w:p w:rsidR="00F4051D" w:rsidRPr="00BD26DA" w:rsidRDefault="00F4051D" w:rsidP="00F4051D">
      <w:pPr>
        <w:spacing w:line="360" w:lineRule="auto"/>
        <w:ind w:right="-279" w:firstLine="708"/>
        <w:jc w:val="both"/>
        <w:rPr>
          <w:rFonts w:ascii="Lato" w:hAnsi="Lato" w:cs="Arial"/>
          <w:sz w:val="18"/>
        </w:rPr>
      </w:pPr>
    </w:p>
    <w:p w:rsidR="00F4051D" w:rsidRPr="002829EA" w:rsidRDefault="00F4051D" w:rsidP="00BD26DA">
      <w:pPr>
        <w:spacing w:line="360" w:lineRule="auto"/>
        <w:jc w:val="both"/>
        <w:rPr>
          <w:rFonts w:ascii="Lato" w:hAnsi="Lato" w:cs="Arial"/>
          <w:i/>
          <w:sz w:val="22"/>
          <w:szCs w:val="22"/>
        </w:rPr>
      </w:pPr>
      <w:r w:rsidRPr="001D02F7">
        <w:rPr>
          <w:rFonts w:ascii="Lato" w:hAnsi="Lato" w:cs="Arial"/>
          <w:b/>
          <w:i/>
        </w:rPr>
        <w:t>“</w:t>
      </w:r>
      <w:r w:rsidRPr="002829EA">
        <w:rPr>
          <w:rFonts w:ascii="Lato" w:hAnsi="Lato" w:cs="Arial"/>
          <w:i/>
          <w:sz w:val="22"/>
          <w:szCs w:val="22"/>
        </w:rPr>
        <w:t>Por este conducto y en relación a su solicitud de información registrada en fecha 02 de marzo del presente año, con n</w:t>
      </w:r>
      <w:r w:rsidR="001D02F7" w:rsidRPr="002829EA">
        <w:rPr>
          <w:rFonts w:ascii="Lato" w:hAnsi="Lato" w:cs="Arial"/>
          <w:i/>
          <w:sz w:val="22"/>
          <w:szCs w:val="22"/>
        </w:rPr>
        <w:t>ú</w:t>
      </w:r>
      <w:r w:rsidRPr="002829EA">
        <w:rPr>
          <w:rFonts w:ascii="Lato" w:hAnsi="Lato" w:cs="Arial"/>
          <w:i/>
          <w:sz w:val="22"/>
          <w:szCs w:val="22"/>
        </w:rPr>
        <w:t xml:space="preserve">mero de folio 00161318, en la Plataforma Nacional de Trasparencia, al respecto me permito manifestarle que en virtud de las actividades que desarrolla el Poder Judicial del Estado de Baja California, la información que solicita </w:t>
      </w:r>
      <w:r w:rsidRPr="002829EA">
        <w:rPr>
          <w:rFonts w:ascii="Lato" w:hAnsi="Lato" w:cs="Arial"/>
          <w:b/>
          <w:i/>
          <w:sz w:val="22"/>
          <w:szCs w:val="22"/>
        </w:rPr>
        <w:t>no es de competencia de esta Institución</w:t>
      </w:r>
      <w:r w:rsidRPr="002829EA">
        <w:rPr>
          <w:rFonts w:ascii="Lato" w:hAnsi="Lato" w:cs="Arial"/>
          <w:i/>
          <w:sz w:val="22"/>
          <w:szCs w:val="22"/>
          <w:u w:val="single"/>
        </w:rPr>
        <w:t>,</w:t>
      </w:r>
      <w:r w:rsidRPr="002829EA">
        <w:rPr>
          <w:rFonts w:ascii="Lato" w:hAnsi="Lato" w:cs="Arial"/>
          <w:i/>
          <w:sz w:val="22"/>
          <w:szCs w:val="22"/>
        </w:rPr>
        <w:t xml:space="preserve"> sin embargo, puede solicitar información a la Procuraduría General de Justicia del Estado, directamente al Poder Ejecutivo del Estado de Baja California, quien tiene su propio portal de transparencia, al cual se puede </w:t>
      </w:r>
      <w:proofErr w:type="spellStart"/>
      <w:r w:rsidRPr="002829EA">
        <w:rPr>
          <w:rFonts w:ascii="Lato" w:hAnsi="Lato" w:cs="Arial"/>
          <w:i/>
          <w:sz w:val="22"/>
          <w:szCs w:val="22"/>
        </w:rPr>
        <w:t>accesar</w:t>
      </w:r>
      <w:proofErr w:type="spellEnd"/>
      <w:r w:rsidRPr="002829EA">
        <w:rPr>
          <w:rFonts w:ascii="Lato" w:hAnsi="Lato" w:cs="Arial"/>
          <w:i/>
          <w:sz w:val="22"/>
          <w:szCs w:val="22"/>
        </w:rPr>
        <w:t xml:space="preserve"> en la dirección http://www.transparenciabc.gob.gob.mx</w:t>
      </w:r>
      <w:r w:rsidR="004C77D6" w:rsidRPr="002829EA">
        <w:rPr>
          <w:rFonts w:ascii="Lato" w:hAnsi="Lato" w:cs="Arial"/>
          <w:i/>
          <w:sz w:val="22"/>
          <w:szCs w:val="22"/>
        </w:rPr>
        <w:t>.</w:t>
      </w:r>
    </w:p>
    <w:p w:rsidR="002829EA" w:rsidRPr="002829EA" w:rsidRDefault="002829EA" w:rsidP="004C77D6">
      <w:pPr>
        <w:spacing w:line="360" w:lineRule="auto"/>
        <w:ind w:right="-279"/>
        <w:jc w:val="both"/>
        <w:rPr>
          <w:rFonts w:ascii="Lato" w:hAnsi="Lato" w:cs="Arial"/>
          <w:i/>
          <w:sz w:val="22"/>
          <w:szCs w:val="22"/>
        </w:rPr>
      </w:pPr>
    </w:p>
    <w:p w:rsidR="00F4051D" w:rsidRPr="001D02F7" w:rsidRDefault="00F4051D" w:rsidP="00BD26DA">
      <w:pPr>
        <w:spacing w:line="360" w:lineRule="auto"/>
        <w:jc w:val="both"/>
        <w:rPr>
          <w:rFonts w:ascii="Lato" w:hAnsi="Lato" w:cs="Arial"/>
          <w:i/>
        </w:rPr>
      </w:pPr>
      <w:r w:rsidRPr="002829EA">
        <w:rPr>
          <w:rFonts w:ascii="Lato" w:hAnsi="Lato" w:cs="Arial"/>
          <w:i/>
          <w:sz w:val="22"/>
          <w:szCs w:val="22"/>
        </w:rPr>
        <w:t xml:space="preserve">Lo anterior con fundamento en el Considerando Segundo, del </w:t>
      </w:r>
      <w:r w:rsidRPr="002829EA">
        <w:rPr>
          <w:rFonts w:ascii="Lato" w:hAnsi="Lato" w:cs="Arial"/>
          <w:b/>
          <w:i/>
          <w:sz w:val="22"/>
          <w:szCs w:val="22"/>
        </w:rPr>
        <w:t xml:space="preserve">¨Acuerdo mediante el cual el Pleno del Instituto Federal de </w:t>
      </w:r>
      <w:r w:rsidR="002829EA" w:rsidRPr="002829EA">
        <w:rPr>
          <w:rFonts w:ascii="Lato" w:hAnsi="Lato" w:cs="Arial"/>
          <w:b/>
          <w:i/>
          <w:sz w:val="22"/>
          <w:szCs w:val="22"/>
        </w:rPr>
        <w:t xml:space="preserve">Telecomunicaciones </w:t>
      </w:r>
      <w:r w:rsidRPr="002829EA">
        <w:rPr>
          <w:rFonts w:ascii="Lato" w:hAnsi="Lato" w:cs="Arial"/>
          <w:b/>
          <w:i/>
          <w:sz w:val="22"/>
          <w:szCs w:val="22"/>
        </w:rPr>
        <w:t xml:space="preserve">expide los Lineamientos de Colaboración en Materia de </w:t>
      </w:r>
      <w:r w:rsidRPr="002829EA">
        <w:rPr>
          <w:rFonts w:ascii="Lato" w:hAnsi="Lato" w:cs="Arial"/>
          <w:b/>
          <w:i/>
          <w:sz w:val="22"/>
          <w:szCs w:val="22"/>
        </w:rPr>
        <w:lastRenderedPageBreak/>
        <w:t>Seguridad y Justicia y modificación del plan técnico fundamental de numeración, publicado el</w:t>
      </w:r>
      <w:r w:rsidR="004779F3" w:rsidRPr="002829EA">
        <w:rPr>
          <w:rFonts w:ascii="Lato" w:hAnsi="Lato" w:cs="Arial"/>
          <w:b/>
          <w:i/>
          <w:sz w:val="22"/>
          <w:szCs w:val="22"/>
        </w:rPr>
        <w:t xml:space="preserve"> </w:t>
      </w:r>
      <w:r w:rsidRPr="002829EA">
        <w:rPr>
          <w:rFonts w:ascii="Lato" w:hAnsi="Lato" w:cs="Arial"/>
          <w:b/>
          <w:i/>
          <w:sz w:val="22"/>
          <w:szCs w:val="22"/>
        </w:rPr>
        <w:t>21 de junio de 1996</w:t>
      </w:r>
      <w:r w:rsidRPr="002829EA">
        <w:rPr>
          <w:rFonts w:ascii="Lato" w:hAnsi="Lato" w:cs="Arial"/>
          <w:i/>
          <w:sz w:val="22"/>
          <w:szCs w:val="22"/>
        </w:rPr>
        <w:t>¨, publicado en el periódico oficial de la federación de fecha 02 de diciembre del 2015</w:t>
      </w:r>
      <w:r w:rsidR="002829EA" w:rsidRPr="002829EA">
        <w:rPr>
          <w:rFonts w:ascii="Lato" w:hAnsi="Lato" w:cs="Arial"/>
          <w:i/>
          <w:sz w:val="22"/>
          <w:szCs w:val="22"/>
        </w:rPr>
        <w:t xml:space="preserve"> (</w:t>
      </w:r>
      <w:r w:rsidRPr="002829EA">
        <w:rPr>
          <w:rFonts w:ascii="Lato" w:hAnsi="Lato" w:cs="Arial"/>
          <w:i/>
          <w:sz w:val="22"/>
          <w:szCs w:val="22"/>
        </w:rPr>
        <w:t>…</w:t>
      </w:r>
      <w:r w:rsidR="002829EA" w:rsidRPr="002829EA">
        <w:rPr>
          <w:rFonts w:ascii="Lato" w:hAnsi="Lato" w:cs="Arial"/>
          <w:i/>
          <w:sz w:val="22"/>
          <w:szCs w:val="22"/>
        </w:rPr>
        <w:t>)</w:t>
      </w:r>
      <w:r w:rsidRPr="001D02F7">
        <w:rPr>
          <w:rFonts w:ascii="Lato" w:hAnsi="Lato" w:cs="Arial"/>
          <w:i/>
        </w:rPr>
        <w:t>”</w:t>
      </w:r>
      <w:r w:rsidR="002829EA">
        <w:rPr>
          <w:rFonts w:ascii="Lato" w:hAnsi="Lato" w:cs="Arial"/>
          <w:i/>
        </w:rPr>
        <w:t>.</w:t>
      </w:r>
    </w:p>
    <w:p w:rsidR="00F4051D" w:rsidRDefault="00F4051D" w:rsidP="001D02F7">
      <w:pPr>
        <w:spacing w:line="360" w:lineRule="auto"/>
        <w:ind w:right="-279"/>
        <w:jc w:val="both"/>
        <w:rPr>
          <w:rFonts w:ascii="Lato" w:hAnsi="Lato" w:cs="Arial"/>
        </w:rPr>
      </w:pPr>
    </w:p>
    <w:p w:rsidR="00F4051D" w:rsidRPr="001D02F7" w:rsidRDefault="00F4051D" w:rsidP="00BD26DA">
      <w:pPr>
        <w:spacing w:line="360" w:lineRule="auto"/>
        <w:jc w:val="both"/>
        <w:rPr>
          <w:rFonts w:ascii="Lato" w:hAnsi="Lato" w:cs="Arial"/>
        </w:rPr>
      </w:pPr>
      <w:r w:rsidRPr="001D02F7">
        <w:rPr>
          <w:rFonts w:ascii="Lato" w:hAnsi="Lato" w:cs="Arial"/>
        </w:rPr>
        <w:t xml:space="preserve">En base a lo antes trascrito se desprende </w:t>
      </w:r>
      <w:r w:rsidR="001D02F7">
        <w:rPr>
          <w:rFonts w:ascii="Lato" w:hAnsi="Lato" w:cs="Arial"/>
        </w:rPr>
        <w:t xml:space="preserve">que la Unidad de Trasparencia, </w:t>
      </w:r>
      <w:r w:rsidRPr="001D02F7">
        <w:rPr>
          <w:rFonts w:ascii="Lato" w:hAnsi="Lato" w:cs="Arial"/>
        </w:rPr>
        <w:t>declar</w:t>
      </w:r>
      <w:r w:rsidR="001D02F7">
        <w:rPr>
          <w:rFonts w:ascii="Lato" w:hAnsi="Lato" w:cs="Arial"/>
        </w:rPr>
        <w:t>ó</w:t>
      </w:r>
      <w:r w:rsidRPr="001D02F7">
        <w:rPr>
          <w:rFonts w:ascii="Lato" w:hAnsi="Lato" w:cs="Arial"/>
        </w:rPr>
        <w:t xml:space="preserve"> </w:t>
      </w:r>
      <w:r w:rsidR="001D02F7">
        <w:rPr>
          <w:rFonts w:ascii="Lato" w:hAnsi="Lato" w:cs="Arial"/>
        </w:rPr>
        <w:t xml:space="preserve">la </w:t>
      </w:r>
      <w:r w:rsidRPr="001D02F7">
        <w:rPr>
          <w:rFonts w:ascii="Lato" w:hAnsi="Lato" w:cs="Arial"/>
        </w:rPr>
        <w:t>incompeten</w:t>
      </w:r>
      <w:r w:rsidR="001D02F7">
        <w:rPr>
          <w:rFonts w:ascii="Lato" w:hAnsi="Lato" w:cs="Arial"/>
        </w:rPr>
        <w:t xml:space="preserve">cia </w:t>
      </w:r>
      <w:r w:rsidRPr="001D02F7">
        <w:rPr>
          <w:rFonts w:ascii="Lato" w:hAnsi="Lato" w:cs="Arial"/>
        </w:rPr>
        <w:t>para proporcionar la información solicitada en virtud de la naturaleza de las actividades realizadas por el Poder Judicial del Estado, fundando tal determinación en el</w:t>
      </w:r>
      <w:r w:rsidR="004779F3">
        <w:rPr>
          <w:rFonts w:ascii="Lato" w:hAnsi="Lato" w:cs="Arial"/>
        </w:rPr>
        <w:t xml:space="preserve"> </w:t>
      </w:r>
      <w:r w:rsidRPr="001D02F7">
        <w:rPr>
          <w:rFonts w:ascii="Lato" w:hAnsi="Lato" w:cs="Arial"/>
        </w:rPr>
        <w:t>Considerando Segundo del Acuerdo mediante el cual el Pleno del Instituto Federal de Telecomunicaciones expide los Lineamientos de Colaboración en Materia de Seguridad y de Justicia, y modifica el plan técnico fundamental de numeración, publicado el 21 de junio de 1996</w:t>
      </w:r>
      <w:r w:rsidR="001D02F7">
        <w:rPr>
          <w:rFonts w:ascii="Lato" w:hAnsi="Lato" w:cs="Arial"/>
        </w:rPr>
        <w:t>.</w:t>
      </w:r>
      <w:r w:rsidR="004779F3">
        <w:rPr>
          <w:rFonts w:ascii="Lato" w:hAnsi="Lato" w:cs="Arial"/>
        </w:rPr>
        <w:t xml:space="preserve"> </w:t>
      </w:r>
    </w:p>
    <w:p w:rsidR="00F4051D" w:rsidRPr="001D02F7" w:rsidRDefault="00F4051D" w:rsidP="00F4051D">
      <w:pPr>
        <w:spacing w:line="360" w:lineRule="auto"/>
        <w:ind w:right="-279" w:firstLine="708"/>
        <w:jc w:val="both"/>
        <w:rPr>
          <w:rFonts w:ascii="Lato" w:hAnsi="Lato" w:cs="Arial"/>
        </w:rPr>
      </w:pPr>
    </w:p>
    <w:p w:rsidR="00F4051D" w:rsidRPr="001D02F7" w:rsidRDefault="00F4051D" w:rsidP="00BD26DA">
      <w:pPr>
        <w:spacing w:line="360" w:lineRule="auto"/>
        <w:jc w:val="both"/>
        <w:rPr>
          <w:rFonts w:ascii="Lato" w:hAnsi="Lato" w:cs="Arial"/>
        </w:rPr>
      </w:pPr>
      <w:r w:rsidRPr="001D02F7">
        <w:rPr>
          <w:rFonts w:ascii="Lato" w:hAnsi="Lato" w:cs="Arial"/>
        </w:rPr>
        <w:t>Por</w:t>
      </w:r>
      <w:r w:rsidR="004779F3">
        <w:rPr>
          <w:rFonts w:ascii="Lato" w:hAnsi="Lato" w:cs="Arial"/>
        </w:rPr>
        <w:t xml:space="preserve"> </w:t>
      </w:r>
      <w:r w:rsidRPr="001D02F7">
        <w:rPr>
          <w:rFonts w:ascii="Lato" w:hAnsi="Lato" w:cs="Arial"/>
        </w:rPr>
        <w:t xml:space="preserve">tanto, </w:t>
      </w:r>
      <w:r w:rsidRPr="001D02F7">
        <w:rPr>
          <w:rFonts w:ascii="Lato" w:hAnsi="Lato" w:cs="Arial"/>
          <w:b/>
        </w:rPr>
        <w:t>resulta necesario que este Comité determine si el Poder Judicial del Estado es competente para generar, poseer o administrar la información solicitada, en base al documento normativo en el que fundamenta su respuesta</w:t>
      </w:r>
      <w:r w:rsidRPr="001D02F7">
        <w:rPr>
          <w:rFonts w:ascii="Lato" w:hAnsi="Lato" w:cs="Arial"/>
        </w:rPr>
        <w:t xml:space="preserve">, para así conocer su esfera de aplicación, observancia y alcances jurídicos, </w:t>
      </w:r>
    </w:p>
    <w:p w:rsidR="00F4051D" w:rsidRPr="001D02F7" w:rsidRDefault="00F4051D" w:rsidP="00F4051D">
      <w:pPr>
        <w:spacing w:line="360" w:lineRule="auto"/>
        <w:ind w:right="-279" w:firstLine="708"/>
        <w:jc w:val="both"/>
        <w:rPr>
          <w:rFonts w:ascii="Lato" w:hAnsi="Lato" w:cs="Arial"/>
        </w:rPr>
      </w:pPr>
    </w:p>
    <w:p w:rsidR="00F064DA" w:rsidRDefault="00F4051D" w:rsidP="00BD26DA">
      <w:pPr>
        <w:spacing w:line="360" w:lineRule="auto"/>
        <w:jc w:val="both"/>
        <w:rPr>
          <w:rFonts w:ascii="Arial" w:hAnsi="Arial" w:cs="Arial"/>
        </w:rPr>
      </w:pPr>
      <w:r w:rsidRPr="00F064DA">
        <w:rPr>
          <w:rFonts w:ascii="Lato" w:hAnsi="Lato" w:cs="Arial"/>
        </w:rPr>
        <w:t xml:space="preserve">Resultando que </w:t>
      </w:r>
      <w:r w:rsidR="001D02F7" w:rsidRPr="00F064DA">
        <w:rPr>
          <w:rFonts w:ascii="Lato" w:hAnsi="Lato" w:cs="Arial"/>
        </w:rPr>
        <w:t>los L</w:t>
      </w:r>
      <w:r w:rsidRPr="00F064DA">
        <w:rPr>
          <w:rFonts w:ascii="Lato" w:hAnsi="Lato" w:cs="Arial"/>
        </w:rPr>
        <w:t xml:space="preserve">ineamientos invocados provienen de la Ley Federal de Telecomunicaciones y Radiodifusión, la cual en </w:t>
      </w:r>
      <w:r w:rsidR="00F064DA" w:rsidRPr="00F064DA">
        <w:rPr>
          <w:rFonts w:ascii="Lato" w:hAnsi="Lato" w:cs="Arial"/>
        </w:rPr>
        <w:t>su Título Octavo denominado “</w:t>
      </w:r>
      <w:r w:rsidR="00F064DA" w:rsidRPr="00F064DA">
        <w:rPr>
          <w:rFonts w:ascii="Lato" w:hAnsi="Lato" w:cs="Arial"/>
          <w:i/>
        </w:rPr>
        <w:t>De la Colaboración con la Justicia”</w:t>
      </w:r>
      <w:r w:rsidR="00F064DA" w:rsidRPr="00F064DA">
        <w:rPr>
          <w:rFonts w:ascii="Lato" w:hAnsi="Lato" w:cs="Arial"/>
        </w:rPr>
        <w:t>, Capítulo Único, titulado: “</w:t>
      </w:r>
      <w:r w:rsidR="00F064DA" w:rsidRPr="00F064DA">
        <w:rPr>
          <w:rFonts w:ascii="Lato" w:hAnsi="Lato" w:cs="Arial"/>
          <w:i/>
        </w:rPr>
        <w:t>De las obligaciones en materia de Seguridad y Justicia”</w:t>
      </w:r>
      <w:r w:rsidR="00F064DA" w:rsidRPr="00F064DA">
        <w:rPr>
          <w:rFonts w:ascii="Lato" w:hAnsi="Lato" w:cs="Arial"/>
        </w:rPr>
        <w:t>, la cual en sus artículos 189 y 190 fracción I, en relación con el transitorio vigésimo segundo, establece</w:t>
      </w:r>
      <w:r w:rsidR="00F064DA">
        <w:rPr>
          <w:rFonts w:ascii="Arial" w:hAnsi="Arial" w:cs="Arial"/>
        </w:rPr>
        <w:t>:</w:t>
      </w:r>
      <w:r w:rsidR="004779F3">
        <w:rPr>
          <w:rFonts w:ascii="Arial" w:hAnsi="Arial" w:cs="Arial"/>
        </w:rPr>
        <w:t xml:space="preserve"> </w:t>
      </w:r>
    </w:p>
    <w:p w:rsidR="00F4051D" w:rsidRPr="001D02F7" w:rsidRDefault="004779F3" w:rsidP="001D02F7">
      <w:pPr>
        <w:spacing w:line="360" w:lineRule="auto"/>
        <w:ind w:right="-279"/>
        <w:jc w:val="both"/>
        <w:rPr>
          <w:rFonts w:ascii="Lato" w:hAnsi="Lato" w:cs="Arial"/>
        </w:rPr>
      </w:pPr>
      <w:r>
        <w:rPr>
          <w:rFonts w:ascii="Lato" w:hAnsi="Lato" w:cs="Arial"/>
        </w:rPr>
        <w:t xml:space="preserve"> </w:t>
      </w:r>
    </w:p>
    <w:p w:rsidR="00F4051D" w:rsidRPr="002829EA" w:rsidRDefault="00F064DA" w:rsidP="00BD26DA">
      <w:pPr>
        <w:spacing w:line="360" w:lineRule="auto"/>
        <w:jc w:val="both"/>
        <w:rPr>
          <w:rFonts w:ascii="Lato" w:hAnsi="Lato" w:cs="Arial"/>
          <w:i/>
          <w:sz w:val="22"/>
          <w:szCs w:val="22"/>
        </w:rPr>
      </w:pPr>
      <w:r w:rsidRPr="00F064DA">
        <w:rPr>
          <w:rFonts w:ascii="Lato" w:hAnsi="Lato" w:cs="Arial"/>
          <w:i/>
        </w:rPr>
        <w:t>“</w:t>
      </w:r>
      <w:r w:rsidR="00F4051D" w:rsidRPr="002829EA">
        <w:rPr>
          <w:rFonts w:ascii="Lato" w:hAnsi="Lato" w:cs="Arial"/>
          <w:i/>
          <w:sz w:val="22"/>
          <w:szCs w:val="22"/>
        </w:rPr>
        <w:t>Artículo 189. Los concesionarios de telecomunicaciones y, en su caso, los autorizados y proveedores de servicios de aplicaciones y contenidos están obligados a atender todo mandamiento por escrito, fundado y motivado de la autoridad competente en los términos que establezcan las leyes.</w:t>
      </w:r>
    </w:p>
    <w:p w:rsidR="00F4051D" w:rsidRPr="002829EA" w:rsidRDefault="00F4051D" w:rsidP="00BD26DA">
      <w:pPr>
        <w:spacing w:line="360" w:lineRule="auto"/>
        <w:jc w:val="both"/>
        <w:rPr>
          <w:rFonts w:ascii="Lato" w:hAnsi="Lato" w:cs="Arial"/>
          <w:i/>
          <w:sz w:val="22"/>
          <w:szCs w:val="22"/>
        </w:rPr>
      </w:pPr>
      <w:r w:rsidRPr="002829EA">
        <w:rPr>
          <w:rFonts w:ascii="Lato" w:hAnsi="Lato" w:cs="Arial"/>
          <w:i/>
          <w:sz w:val="22"/>
          <w:szCs w:val="22"/>
        </w:rPr>
        <w:t>Los titulares de las instancias de seguridad y procuración de justicia designarán a los servidores públicos encargados de gestionar los requerimientos que se realicen a los concesionarios y recibir la información correspondiente, mediante acuerdos publicados en el Diario Oficial de la Federación.</w:t>
      </w:r>
    </w:p>
    <w:p w:rsidR="00F4051D" w:rsidRPr="002829EA" w:rsidRDefault="00F4051D" w:rsidP="00F4051D">
      <w:pPr>
        <w:pStyle w:val="Cuerpodeltexto0"/>
        <w:shd w:val="clear" w:color="auto" w:fill="auto"/>
        <w:tabs>
          <w:tab w:val="left" w:pos="1134"/>
        </w:tabs>
        <w:spacing w:after="211" w:line="240" w:lineRule="auto"/>
        <w:ind w:left="1134" w:right="855" w:firstLine="0"/>
        <w:jc w:val="both"/>
        <w:rPr>
          <w:rFonts w:ascii="Lato" w:eastAsiaTheme="minorHAnsi" w:hAnsi="Lato"/>
          <w:i/>
          <w:sz w:val="22"/>
          <w:szCs w:val="22"/>
          <w:lang w:val="es-MX"/>
        </w:rPr>
      </w:pPr>
    </w:p>
    <w:p w:rsidR="00F4051D" w:rsidRPr="002829EA" w:rsidRDefault="00F4051D" w:rsidP="00BD26DA">
      <w:pPr>
        <w:spacing w:line="360" w:lineRule="auto"/>
        <w:jc w:val="both"/>
        <w:rPr>
          <w:rFonts w:ascii="Lato" w:eastAsiaTheme="minorHAnsi" w:hAnsi="Lato"/>
          <w:i/>
          <w:sz w:val="22"/>
          <w:szCs w:val="22"/>
        </w:rPr>
      </w:pPr>
      <w:r w:rsidRPr="002829EA">
        <w:rPr>
          <w:rFonts w:ascii="Lato" w:eastAsiaTheme="minorHAnsi" w:hAnsi="Lato"/>
          <w:i/>
          <w:sz w:val="22"/>
          <w:szCs w:val="22"/>
        </w:rPr>
        <w:t>Artículo 190. Los concesionarios de telecomunicaciones y, en su caso, los autorizados deberán:</w:t>
      </w:r>
    </w:p>
    <w:p w:rsidR="00F4051D" w:rsidRPr="002829EA" w:rsidRDefault="00F4051D" w:rsidP="00BD26DA">
      <w:pPr>
        <w:spacing w:line="360" w:lineRule="auto"/>
        <w:jc w:val="both"/>
        <w:rPr>
          <w:rFonts w:ascii="Lato" w:eastAsiaTheme="minorHAnsi" w:hAnsi="Lato"/>
          <w:i/>
          <w:sz w:val="22"/>
          <w:szCs w:val="22"/>
        </w:rPr>
      </w:pPr>
      <w:r w:rsidRPr="002829EA">
        <w:rPr>
          <w:rFonts w:ascii="Lato" w:eastAsiaTheme="minorHAnsi" w:hAnsi="Lato"/>
          <w:i/>
          <w:sz w:val="22"/>
          <w:szCs w:val="22"/>
        </w:rPr>
        <w:lastRenderedPageBreak/>
        <w:t>I.- Colaborar con las instancias de segundad, procuración y administración de justicia, en la localización geográfica, en tiempo real, de los equipos de comunicación móvil, en los términos que establezcan las leyes.</w:t>
      </w:r>
    </w:p>
    <w:p w:rsidR="00F4051D" w:rsidRPr="002829EA" w:rsidRDefault="00F4051D" w:rsidP="00BD26DA">
      <w:pPr>
        <w:spacing w:line="360" w:lineRule="auto"/>
        <w:jc w:val="both"/>
        <w:rPr>
          <w:rFonts w:ascii="Lato" w:eastAsiaTheme="minorHAnsi" w:hAnsi="Lato"/>
          <w:i/>
          <w:sz w:val="22"/>
          <w:szCs w:val="22"/>
        </w:rPr>
      </w:pPr>
      <w:r w:rsidRPr="002829EA">
        <w:rPr>
          <w:rFonts w:ascii="Lato" w:eastAsiaTheme="minorHAnsi" w:hAnsi="Lato"/>
          <w:i/>
          <w:sz w:val="22"/>
          <w:szCs w:val="22"/>
        </w:rPr>
        <w:t>Cualquier omisión o desacato a estas disposiciones será sancionada por la autoridad, en los términos de lo previsto por la legislación penal aplicable.</w:t>
      </w:r>
    </w:p>
    <w:p w:rsidR="00F4051D" w:rsidRPr="002829EA" w:rsidRDefault="00F4051D" w:rsidP="00BD26DA">
      <w:pPr>
        <w:spacing w:line="360" w:lineRule="auto"/>
        <w:jc w:val="both"/>
        <w:rPr>
          <w:rFonts w:ascii="Lato" w:hAnsi="Lato"/>
          <w:color w:val="2F2F2F"/>
          <w:sz w:val="22"/>
          <w:szCs w:val="22"/>
          <w:shd w:val="clear" w:color="auto" w:fill="FFFFFF"/>
        </w:rPr>
      </w:pPr>
      <w:r w:rsidRPr="002829EA">
        <w:rPr>
          <w:rFonts w:ascii="Lato" w:eastAsiaTheme="minorHAnsi" w:hAnsi="Lato"/>
          <w:i/>
          <w:sz w:val="22"/>
          <w:szCs w:val="22"/>
        </w:rPr>
        <w:t>El Instituto, escuchando a las autoridades a que se refiere el artículo 189 de</w:t>
      </w:r>
      <w:r w:rsidRPr="002829EA">
        <w:rPr>
          <w:rFonts w:ascii="Lato" w:hAnsi="Lato"/>
          <w:i/>
          <w:sz w:val="22"/>
          <w:szCs w:val="22"/>
        </w:rPr>
        <w:t xml:space="preserve"> esta Ley, </w:t>
      </w:r>
      <w:r w:rsidRPr="002829EA">
        <w:rPr>
          <w:rFonts w:ascii="Lato" w:eastAsiaTheme="minorHAnsi" w:hAnsi="Lato"/>
          <w:i/>
          <w:sz w:val="22"/>
          <w:szCs w:val="22"/>
        </w:rPr>
        <w:t xml:space="preserve">establecerá los lineamientos que los concesionarios de </w:t>
      </w:r>
      <w:r w:rsidRPr="002829EA">
        <w:rPr>
          <w:rFonts w:ascii="Lato" w:hAnsi="Lato"/>
          <w:i/>
          <w:sz w:val="22"/>
          <w:szCs w:val="22"/>
        </w:rPr>
        <w:t>telecomuni</w:t>
      </w:r>
      <w:r w:rsidRPr="002829EA">
        <w:rPr>
          <w:rFonts w:ascii="Lato" w:eastAsiaTheme="minorHAnsi" w:hAnsi="Lato"/>
          <w:i/>
          <w:sz w:val="22"/>
          <w:szCs w:val="22"/>
        </w:rPr>
        <w:t>caciones y, en su caso, los autorizados deberán</w:t>
      </w:r>
      <w:r w:rsidRPr="002829EA">
        <w:rPr>
          <w:rFonts w:ascii="Lato" w:hAnsi="Lato"/>
          <w:i/>
          <w:sz w:val="22"/>
          <w:szCs w:val="22"/>
        </w:rPr>
        <w:t xml:space="preserve"> adoptar para que la colaboración a que se refiere esta Ley con dichas autoridades, sea efectiva y oportuna.</w:t>
      </w:r>
    </w:p>
    <w:p w:rsidR="00F4051D" w:rsidRPr="002829EA" w:rsidRDefault="00F4051D" w:rsidP="00F4051D">
      <w:pPr>
        <w:pStyle w:val="Cuerpodeltexto0"/>
        <w:shd w:val="clear" w:color="auto" w:fill="auto"/>
        <w:tabs>
          <w:tab w:val="left" w:pos="1134"/>
        </w:tabs>
        <w:spacing w:line="240" w:lineRule="auto"/>
        <w:ind w:left="1134" w:right="855" w:firstLine="0"/>
        <w:jc w:val="both"/>
        <w:rPr>
          <w:rFonts w:ascii="Lato" w:hAnsi="Lato"/>
          <w:i/>
          <w:sz w:val="22"/>
          <w:szCs w:val="22"/>
          <w:lang w:val="es-MX"/>
        </w:rPr>
      </w:pPr>
    </w:p>
    <w:p w:rsidR="00F4051D" w:rsidRPr="002829EA" w:rsidRDefault="00F4051D" w:rsidP="00BD26DA">
      <w:pPr>
        <w:spacing w:line="360" w:lineRule="auto"/>
        <w:jc w:val="both"/>
        <w:rPr>
          <w:rFonts w:ascii="Lato" w:eastAsiaTheme="minorHAnsi" w:hAnsi="Lato"/>
          <w:i/>
          <w:sz w:val="22"/>
          <w:szCs w:val="22"/>
        </w:rPr>
      </w:pPr>
      <w:r w:rsidRPr="002829EA">
        <w:rPr>
          <w:rFonts w:ascii="Lato" w:eastAsiaTheme="minorHAnsi" w:hAnsi="Lato"/>
          <w:i/>
          <w:sz w:val="22"/>
          <w:szCs w:val="22"/>
        </w:rPr>
        <w:t>TRANSITORIO VIGÉSIMO SEGUNDO. El Instituto Federal de Telecomunicaciones deberá emitir las disposiciones administrativas de carácter general a que se refiere el Título Octavo de la Ley Federal de Telecomunicaciones v Radiodifusión, en un plazo máximo de noventa días naturales contados a partir de la entrada en vigor del presente Decreto.”</w:t>
      </w:r>
    </w:p>
    <w:p w:rsidR="00F4051D" w:rsidRPr="001D02F7" w:rsidRDefault="00F4051D" w:rsidP="00F4051D">
      <w:pPr>
        <w:ind w:right="-279"/>
        <w:jc w:val="center"/>
        <w:rPr>
          <w:rFonts w:ascii="Lato" w:hAnsi="Lato" w:cs="Arial"/>
          <w:b/>
          <w:lang w:val="es-ES"/>
        </w:rPr>
      </w:pPr>
    </w:p>
    <w:p w:rsidR="00F4051D" w:rsidRPr="001D02F7" w:rsidRDefault="00F4051D" w:rsidP="00F4051D">
      <w:pPr>
        <w:ind w:right="-279"/>
        <w:jc w:val="center"/>
        <w:rPr>
          <w:rFonts w:ascii="Lato" w:hAnsi="Lato" w:cs="Arial"/>
          <w:b/>
        </w:rPr>
      </w:pPr>
    </w:p>
    <w:p w:rsidR="00F4051D" w:rsidRPr="001D02F7" w:rsidRDefault="00F064DA" w:rsidP="00BD26DA">
      <w:pPr>
        <w:spacing w:line="360" w:lineRule="auto"/>
        <w:jc w:val="both"/>
        <w:rPr>
          <w:rFonts w:ascii="Lato" w:hAnsi="Lato" w:cs="Arial"/>
        </w:rPr>
      </w:pPr>
      <w:r>
        <w:rPr>
          <w:rFonts w:ascii="Lato" w:hAnsi="Lato" w:cs="Arial"/>
        </w:rPr>
        <w:t>De los anteriores p</w:t>
      </w:r>
      <w:r w:rsidR="00F4051D" w:rsidRPr="001D02F7">
        <w:rPr>
          <w:rFonts w:ascii="Lato" w:hAnsi="Lato" w:cs="Arial"/>
        </w:rPr>
        <w:t>receptos normativ</w:t>
      </w:r>
      <w:r>
        <w:rPr>
          <w:rFonts w:ascii="Lato" w:hAnsi="Lato" w:cs="Arial"/>
        </w:rPr>
        <w:t>o</w:t>
      </w:r>
      <w:r w:rsidR="00F4051D" w:rsidRPr="001D02F7">
        <w:rPr>
          <w:rFonts w:ascii="Lato" w:hAnsi="Lato" w:cs="Arial"/>
        </w:rPr>
        <w:t xml:space="preserve">s </w:t>
      </w:r>
      <w:r>
        <w:rPr>
          <w:rFonts w:ascii="Lato" w:hAnsi="Lato" w:cs="Arial"/>
        </w:rPr>
        <w:t xml:space="preserve">se desprende </w:t>
      </w:r>
      <w:r w:rsidR="00F4051D" w:rsidRPr="001D02F7">
        <w:rPr>
          <w:rFonts w:ascii="Lato" w:hAnsi="Lato" w:cs="Arial"/>
        </w:rPr>
        <w:t xml:space="preserve">que </w:t>
      </w:r>
      <w:r>
        <w:rPr>
          <w:rFonts w:ascii="Lato" w:hAnsi="Lato" w:cs="Arial"/>
        </w:rPr>
        <w:t xml:space="preserve">se </w:t>
      </w:r>
      <w:r w:rsidR="00F4051D" w:rsidRPr="001D02F7">
        <w:rPr>
          <w:rFonts w:ascii="Lato" w:hAnsi="Lato" w:cs="Arial"/>
        </w:rPr>
        <w:t>impon</w:t>
      </w:r>
      <w:r>
        <w:rPr>
          <w:rFonts w:ascii="Lato" w:hAnsi="Lato" w:cs="Arial"/>
        </w:rPr>
        <w:t>e</w:t>
      </w:r>
      <w:r w:rsidR="00F4051D" w:rsidRPr="001D02F7">
        <w:rPr>
          <w:rFonts w:ascii="Lato" w:hAnsi="Lato" w:cs="Arial"/>
        </w:rPr>
        <w:t xml:space="preserve"> al Instituto Federal de Telecomunicaciones, la obligación de emitir las disposiciones técnicas y administrativas necesarias para proveer la observancia en la obligación de los concesionarios de telecomunicaciones y autorizados de atender todo mandamiento por escrito, fundado y motivado que emita la autoridad competente sujetándose al marco legal. </w:t>
      </w:r>
    </w:p>
    <w:p w:rsidR="00F4051D" w:rsidRPr="001D02F7" w:rsidRDefault="00F4051D" w:rsidP="00F4051D">
      <w:pPr>
        <w:spacing w:line="360" w:lineRule="auto"/>
        <w:ind w:right="-279" w:firstLine="708"/>
        <w:jc w:val="both"/>
        <w:rPr>
          <w:rFonts w:ascii="Lato" w:hAnsi="Lato" w:cs="Arial"/>
        </w:rPr>
      </w:pPr>
    </w:p>
    <w:p w:rsidR="00F4051D" w:rsidRPr="001D02F7" w:rsidRDefault="00DD26CE" w:rsidP="00BD26DA">
      <w:pPr>
        <w:spacing w:line="360" w:lineRule="auto"/>
        <w:jc w:val="both"/>
        <w:rPr>
          <w:rFonts w:ascii="Lato" w:hAnsi="Lato" w:cs="Arial"/>
        </w:rPr>
      </w:pPr>
      <w:r>
        <w:rPr>
          <w:rFonts w:ascii="Lato" w:hAnsi="Lato" w:cs="Arial"/>
        </w:rPr>
        <w:t>Del análisis de los n</w:t>
      </w:r>
      <w:r w:rsidR="00F4051D" w:rsidRPr="001D02F7">
        <w:rPr>
          <w:rFonts w:ascii="Lato" w:hAnsi="Lato" w:cs="Arial"/>
        </w:rPr>
        <w:t>umerales citados</w:t>
      </w:r>
      <w:r>
        <w:rPr>
          <w:rFonts w:ascii="Lato" w:hAnsi="Lato" w:cs="Arial"/>
        </w:rPr>
        <w:t>,</w:t>
      </w:r>
      <w:r w:rsidR="00F4051D" w:rsidRPr="001D02F7">
        <w:rPr>
          <w:rFonts w:ascii="Lato" w:hAnsi="Lato" w:cs="Arial"/>
        </w:rPr>
        <w:t xml:space="preserve"> se desprende que guardan relación con la solicitud de acceso a la información pública realizada, por lo que si el numeral 189</w:t>
      </w:r>
      <w:r>
        <w:rPr>
          <w:rFonts w:ascii="Lato" w:hAnsi="Lato" w:cs="Arial"/>
        </w:rPr>
        <w:t>,</w:t>
      </w:r>
      <w:r w:rsidR="004779F3">
        <w:rPr>
          <w:rFonts w:ascii="Lato" w:hAnsi="Lato" w:cs="Arial"/>
        </w:rPr>
        <w:t xml:space="preserve"> </w:t>
      </w:r>
      <w:r w:rsidR="00F4051D" w:rsidRPr="001D02F7">
        <w:rPr>
          <w:rFonts w:ascii="Lato" w:hAnsi="Lato" w:cs="Arial"/>
        </w:rPr>
        <w:t xml:space="preserve">de la legislación en cita, impone la obligación de designar a los servidores públicos encargados de gestionar los requerimientos que se realicen a los concesionarios de telecomunicaciones; </w:t>
      </w:r>
      <w:r w:rsidRPr="00DD26CE">
        <w:rPr>
          <w:rFonts w:ascii="Lato" w:hAnsi="Lato" w:cs="Arial"/>
          <w:b/>
        </w:rPr>
        <w:t>tal deber, es dirigido únicamente a aquellas instancias de seguridad y procuración de justicia</w:t>
      </w:r>
      <w:r w:rsidR="00F4051D" w:rsidRPr="00DD26CE">
        <w:rPr>
          <w:rFonts w:ascii="Lato" w:hAnsi="Lato" w:cs="Arial"/>
          <w:b/>
        </w:rPr>
        <w:t>.</w:t>
      </w:r>
      <w:r>
        <w:rPr>
          <w:rFonts w:ascii="Lato" w:hAnsi="Lato" w:cs="Arial"/>
          <w:b/>
        </w:rPr>
        <w:t xml:space="preserve"> </w:t>
      </w:r>
      <w:r w:rsidR="00F4051D" w:rsidRPr="001D02F7">
        <w:rPr>
          <w:rFonts w:ascii="Lato" w:hAnsi="Lato" w:cs="Arial"/>
        </w:rPr>
        <w:t xml:space="preserve">De tal suerte que, para poder dictaminar si el Poder Judicial del Estado es competente de generar, poseer o administrar la información solicitada; </w:t>
      </w:r>
      <w:r>
        <w:rPr>
          <w:rFonts w:ascii="Lato" w:hAnsi="Lato" w:cs="Arial"/>
        </w:rPr>
        <w:t xml:space="preserve">se </w:t>
      </w:r>
      <w:r w:rsidR="00F4051D" w:rsidRPr="001D02F7">
        <w:rPr>
          <w:rFonts w:ascii="Lato" w:hAnsi="Lato" w:cs="Arial"/>
        </w:rPr>
        <w:t>habrá de dilucidar si éste encuadra dentro del cat</w:t>
      </w:r>
      <w:r>
        <w:rPr>
          <w:rFonts w:ascii="Lato" w:hAnsi="Lato" w:cs="Arial"/>
        </w:rPr>
        <w:t>á</w:t>
      </w:r>
      <w:r w:rsidR="00F4051D" w:rsidRPr="001D02F7">
        <w:rPr>
          <w:rFonts w:ascii="Lato" w:hAnsi="Lato" w:cs="Arial"/>
        </w:rPr>
        <w:t xml:space="preserve">logo previsto por la Ley Federal de Telecomunicaciones, como una instancia encargada de la seguridad y procuración de </w:t>
      </w:r>
      <w:r w:rsidR="00F4051D" w:rsidRPr="001D02F7">
        <w:rPr>
          <w:rFonts w:ascii="Lato" w:hAnsi="Lato" w:cs="Arial"/>
        </w:rPr>
        <w:lastRenderedPageBreak/>
        <w:t>justicia.</w:t>
      </w:r>
      <w:r>
        <w:rPr>
          <w:rFonts w:ascii="Lato" w:hAnsi="Lato" w:cs="Arial"/>
        </w:rPr>
        <w:t xml:space="preserve"> </w:t>
      </w:r>
      <w:r w:rsidR="00F4051D" w:rsidRPr="001D02F7">
        <w:rPr>
          <w:rFonts w:ascii="Lato" w:hAnsi="Lato" w:cs="Arial"/>
        </w:rPr>
        <w:t>En razón de lo cual</w:t>
      </w:r>
      <w:r>
        <w:rPr>
          <w:rFonts w:ascii="Lato" w:hAnsi="Lato" w:cs="Arial"/>
        </w:rPr>
        <w:t>,</w:t>
      </w:r>
      <w:r w:rsidR="00F4051D" w:rsidRPr="001D02F7">
        <w:rPr>
          <w:rFonts w:ascii="Lato" w:hAnsi="Lato" w:cs="Arial"/>
        </w:rPr>
        <w:t xml:space="preserve"> se procede a analizar los artículos 57 y 59 de la Constitución Política del Estado Libre y Soberano de Baja California, los cuales consagran la integración y competencia del Poder Judicial.</w:t>
      </w:r>
    </w:p>
    <w:p w:rsidR="00F4051D" w:rsidRPr="001D02F7" w:rsidRDefault="00F4051D" w:rsidP="00F4051D">
      <w:pPr>
        <w:spacing w:line="360" w:lineRule="auto"/>
        <w:ind w:right="-279" w:firstLine="708"/>
        <w:jc w:val="both"/>
        <w:rPr>
          <w:rFonts w:ascii="Lato" w:hAnsi="Lato" w:cs="Arial"/>
        </w:rPr>
      </w:pPr>
    </w:p>
    <w:p w:rsidR="00F4051D" w:rsidRPr="002829EA" w:rsidRDefault="00F4051D" w:rsidP="00BD26DA">
      <w:pPr>
        <w:spacing w:line="360" w:lineRule="auto"/>
        <w:jc w:val="both"/>
        <w:rPr>
          <w:rFonts w:ascii="Lato" w:eastAsia="Arial" w:hAnsi="Lato" w:cs="Arial"/>
          <w:b/>
          <w:i/>
          <w:sz w:val="22"/>
          <w:szCs w:val="22"/>
        </w:rPr>
      </w:pPr>
      <w:r w:rsidRPr="001D02F7">
        <w:rPr>
          <w:rFonts w:ascii="Lato" w:eastAsia="Arial" w:hAnsi="Lato" w:cs="Arial"/>
          <w:i/>
        </w:rPr>
        <w:t>“</w:t>
      </w:r>
      <w:r w:rsidRPr="002829EA">
        <w:rPr>
          <w:rFonts w:ascii="Lato" w:eastAsia="Arial" w:hAnsi="Lato" w:cs="Arial"/>
          <w:i/>
          <w:sz w:val="22"/>
          <w:szCs w:val="22"/>
        </w:rPr>
        <w:t>CONSTITUCIÓN POLÍTICA DEL ESTADO LIBRE Y SOBERANO</w:t>
      </w:r>
      <w:r w:rsidR="00DD26CE" w:rsidRPr="002829EA">
        <w:rPr>
          <w:rFonts w:ascii="Lato" w:eastAsia="Arial" w:hAnsi="Lato" w:cs="Arial"/>
          <w:i/>
          <w:sz w:val="22"/>
          <w:szCs w:val="22"/>
        </w:rPr>
        <w:t xml:space="preserve"> </w:t>
      </w:r>
      <w:r w:rsidRPr="002829EA">
        <w:rPr>
          <w:rFonts w:ascii="Lato" w:eastAsia="Arial" w:hAnsi="Lato" w:cs="Arial"/>
          <w:i/>
          <w:sz w:val="22"/>
          <w:szCs w:val="22"/>
        </w:rPr>
        <w:t>DE BAJA CALIFORNIA</w:t>
      </w:r>
    </w:p>
    <w:p w:rsidR="00F4051D" w:rsidRPr="002829EA" w:rsidRDefault="00F4051D" w:rsidP="00F4051D">
      <w:pPr>
        <w:ind w:right="-279" w:firstLine="708"/>
        <w:jc w:val="both"/>
        <w:rPr>
          <w:rFonts w:ascii="Lato" w:hAnsi="Lato" w:cs="Arial"/>
          <w:sz w:val="22"/>
          <w:szCs w:val="22"/>
        </w:rPr>
      </w:pPr>
    </w:p>
    <w:p w:rsidR="00F4051D" w:rsidRPr="002829EA" w:rsidRDefault="00F4051D" w:rsidP="00BD26DA">
      <w:pPr>
        <w:spacing w:line="360" w:lineRule="auto"/>
        <w:jc w:val="both"/>
        <w:rPr>
          <w:rFonts w:ascii="Lato" w:hAnsi="Lato"/>
          <w:i/>
          <w:sz w:val="22"/>
          <w:szCs w:val="22"/>
        </w:rPr>
      </w:pPr>
      <w:r w:rsidRPr="002829EA">
        <w:rPr>
          <w:rFonts w:ascii="Lato" w:hAnsi="Lato"/>
          <w:i/>
          <w:sz w:val="22"/>
          <w:szCs w:val="22"/>
        </w:rPr>
        <w:t xml:space="preserve">ARTICULO 57. El Poder Judicial del Estado se ejercerá por el Tribunal Superior de Justicia. Juzgados de Primera Instancia, Juzgados de </w:t>
      </w:r>
      <w:r w:rsidR="00DD26CE" w:rsidRPr="002829EA">
        <w:rPr>
          <w:rFonts w:ascii="Lato" w:hAnsi="Lato"/>
          <w:i/>
          <w:sz w:val="22"/>
          <w:szCs w:val="22"/>
        </w:rPr>
        <w:t>P</w:t>
      </w:r>
      <w:r w:rsidRPr="002829EA">
        <w:rPr>
          <w:rFonts w:ascii="Lato" w:hAnsi="Lato"/>
          <w:i/>
          <w:sz w:val="22"/>
          <w:szCs w:val="22"/>
        </w:rPr>
        <w:t>az y Jurados.</w:t>
      </w:r>
    </w:p>
    <w:p w:rsidR="00F4051D" w:rsidRDefault="00F4051D" w:rsidP="00BD26DA">
      <w:pPr>
        <w:spacing w:line="360" w:lineRule="auto"/>
        <w:jc w:val="both"/>
        <w:rPr>
          <w:rFonts w:ascii="Lato" w:hAnsi="Lato"/>
          <w:i/>
          <w:sz w:val="22"/>
          <w:szCs w:val="22"/>
        </w:rPr>
      </w:pPr>
      <w:r w:rsidRPr="002829EA">
        <w:rPr>
          <w:rFonts w:ascii="Lato" w:hAnsi="Lato"/>
          <w:i/>
          <w:sz w:val="22"/>
          <w:szCs w:val="22"/>
        </w:rPr>
        <w:t>Contará con un Consejo de la Judicatura, el cual ejercerá funciones de vigilancia, disciplina, supervisión y administración.</w:t>
      </w:r>
    </w:p>
    <w:p w:rsidR="00504AF0" w:rsidRPr="002829EA" w:rsidRDefault="00504AF0" w:rsidP="002829EA">
      <w:pPr>
        <w:spacing w:line="360" w:lineRule="auto"/>
        <w:ind w:right="-279"/>
        <w:jc w:val="both"/>
        <w:rPr>
          <w:rFonts w:ascii="Lato" w:hAnsi="Lato"/>
          <w:i/>
          <w:sz w:val="22"/>
          <w:szCs w:val="22"/>
        </w:rPr>
      </w:pPr>
    </w:p>
    <w:p w:rsidR="00F4051D" w:rsidRPr="002829EA" w:rsidRDefault="00F4051D" w:rsidP="00BD26DA">
      <w:pPr>
        <w:spacing w:line="360" w:lineRule="auto"/>
        <w:jc w:val="both"/>
        <w:rPr>
          <w:rFonts w:ascii="Lato" w:hAnsi="Lato"/>
          <w:i/>
          <w:sz w:val="22"/>
          <w:szCs w:val="22"/>
        </w:rPr>
      </w:pPr>
      <w:r w:rsidRPr="002829EA">
        <w:rPr>
          <w:rFonts w:ascii="Lato" w:hAnsi="Lato"/>
          <w:i/>
          <w:sz w:val="22"/>
          <w:szCs w:val="22"/>
        </w:rPr>
        <w:t xml:space="preserve">La representación del Poder Judicial estará a cargo del Presidente del Tribunal Superior </w:t>
      </w:r>
      <w:r w:rsidR="00DD26CE" w:rsidRPr="002829EA">
        <w:rPr>
          <w:rFonts w:ascii="Lato" w:hAnsi="Lato"/>
          <w:i/>
          <w:sz w:val="22"/>
          <w:szCs w:val="22"/>
        </w:rPr>
        <w:t>d</w:t>
      </w:r>
      <w:r w:rsidRPr="002829EA">
        <w:rPr>
          <w:rFonts w:ascii="Lato" w:hAnsi="Lato"/>
          <w:i/>
          <w:sz w:val="22"/>
          <w:szCs w:val="22"/>
        </w:rPr>
        <w:t>e Justicia del Estado, el cual se elegirá y desempeñará sus funciones de acuerdo a lo que señale la Ley.</w:t>
      </w:r>
    </w:p>
    <w:p w:rsidR="00F4051D" w:rsidRPr="002829EA" w:rsidRDefault="00F4051D" w:rsidP="00F4051D">
      <w:pPr>
        <w:pStyle w:val="Cuerpodeltexto0"/>
        <w:shd w:val="clear" w:color="auto" w:fill="auto"/>
        <w:tabs>
          <w:tab w:val="left" w:pos="1134"/>
        </w:tabs>
        <w:spacing w:line="240" w:lineRule="auto"/>
        <w:ind w:left="1134" w:right="855" w:firstLine="0"/>
        <w:jc w:val="both"/>
        <w:rPr>
          <w:rFonts w:ascii="Lato" w:hAnsi="Lato"/>
          <w:i/>
          <w:sz w:val="22"/>
          <w:szCs w:val="22"/>
          <w:lang w:val="es-MX"/>
        </w:rPr>
      </w:pPr>
    </w:p>
    <w:p w:rsidR="00F4051D" w:rsidRPr="002829EA" w:rsidRDefault="00F4051D" w:rsidP="00BD26DA">
      <w:pPr>
        <w:spacing w:line="360" w:lineRule="auto"/>
        <w:jc w:val="both"/>
        <w:rPr>
          <w:rFonts w:ascii="Lato" w:hAnsi="Lato"/>
          <w:i/>
          <w:sz w:val="22"/>
          <w:szCs w:val="22"/>
        </w:rPr>
      </w:pPr>
      <w:r w:rsidRPr="002829EA">
        <w:rPr>
          <w:rFonts w:ascii="Lato" w:hAnsi="Lato"/>
          <w:i/>
          <w:sz w:val="22"/>
          <w:szCs w:val="22"/>
        </w:rPr>
        <w:t>ARTÍCULO 59.- Los Tribunales del Poder Judicial resolverán las controversias que en el ámbito de su competencia se les presenten.</w:t>
      </w:r>
    </w:p>
    <w:p w:rsidR="00DD26CE" w:rsidRPr="002829EA" w:rsidRDefault="00DD26CE" w:rsidP="00DD26CE">
      <w:pPr>
        <w:pStyle w:val="Cuerpodeltexto0"/>
        <w:shd w:val="clear" w:color="auto" w:fill="auto"/>
        <w:tabs>
          <w:tab w:val="left" w:pos="1134"/>
        </w:tabs>
        <w:spacing w:line="240" w:lineRule="auto"/>
        <w:ind w:right="855" w:firstLine="0"/>
        <w:jc w:val="both"/>
        <w:rPr>
          <w:rFonts w:ascii="Lato" w:hAnsi="Lato"/>
          <w:i/>
          <w:sz w:val="22"/>
          <w:szCs w:val="22"/>
          <w:lang w:val="es-MX"/>
        </w:rPr>
      </w:pPr>
    </w:p>
    <w:p w:rsidR="00F4051D" w:rsidRPr="00DD26CE" w:rsidRDefault="00F4051D" w:rsidP="00BD26DA">
      <w:pPr>
        <w:spacing w:line="360" w:lineRule="auto"/>
        <w:jc w:val="both"/>
        <w:rPr>
          <w:rFonts w:ascii="Lato" w:hAnsi="Lato"/>
          <w:i/>
        </w:rPr>
      </w:pPr>
      <w:r w:rsidRPr="002829EA">
        <w:rPr>
          <w:rFonts w:ascii="Lato" w:hAnsi="Lato"/>
          <w:i/>
          <w:sz w:val="22"/>
          <w:szCs w:val="22"/>
        </w:rPr>
        <w:t>La competencia del Tribunal Superior de Justicia, su funcionamiento en P</w:t>
      </w:r>
      <w:r w:rsidR="00451B76">
        <w:rPr>
          <w:rFonts w:ascii="Lato" w:hAnsi="Lato"/>
          <w:i/>
          <w:sz w:val="22"/>
          <w:szCs w:val="22"/>
        </w:rPr>
        <w:t>leno</w:t>
      </w:r>
      <w:r w:rsidRPr="002829EA">
        <w:rPr>
          <w:rFonts w:ascii="Lato" w:hAnsi="Lato"/>
          <w:i/>
          <w:sz w:val="22"/>
          <w:szCs w:val="22"/>
        </w:rPr>
        <w:t xml:space="preserve"> y en Salas; de los Juzgados de Primera In</w:t>
      </w:r>
      <w:r w:rsidR="00451B76">
        <w:rPr>
          <w:rFonts w:ascii="Lato" w:hAnsi="Lato"/>
          <w:i/>
          <w:sz w:val="22"/>
          <w:szCs w:val="22"/>
        </w:rPr>
        <w:t>stancia, Juzgados de Paz, Jurado</w:t>
      </w:r>
      <w:r w:rsidRPr="002829EA">
        <w:rPr>
          <w:rFonts w:ascii="Lato" w:hAnsi="Lato"/>
          <w:i/>
          <w:sz w:val="22"/>
          <w:szCs w:val="22"/>
        </w:rPr>
        <w:t>s y Consejo</w:t>
      </w:r>
      <w:r w:rsidRPr="002829EA">
        <w:rPr>
          <w:rFonts w:ascii="Lato" w:hAnsi="Lato"/>
          <w:bCs/>
          <w:i/>
          <w:sz w:val="22"/>
          <w:szCs w:val="22"/>
        </w:rPr>
        <w:t xml:space="preserve"> de la Judicatura</w:t>
      </w:r>
      <w:r w:rsidRPr="002829EA">
        <w:rPr>
          <w:rFonts w:ascii="Lato" w:hAnsi="Lato"/>
          <w:i/>
          <w:sz w:val="22"/>
          <w:szCs w:val="22"/>
        </w:rPr>
        <w:t xml:space="preserve"> se regirá por lo que dispongan la Ley Orgánica del Poder Judicial y, de conformidad con las bases</w:t>
      </w:r>
      <w:r w:rsidRPr="002829EA">
        <w:rPr>
          <w:rFonts w:ascii="Lato" w:hAnsi="Lato"/>
          <w:bCs/>
          <w:i/>
          <w:sz w:val="22"/>
          <w:szCs w:val="22"/>
        </w:rPr>
        <w:t xml:space="preserve"> que</w:t>
      </w:r>
      <w:r w:rsidRPr="002829EA">
        <w:rPr>
          <w:rFonts w:ascii="Lato" w:hAnsi="Lato"/>
          <w:i/>
          <w:sz w:val="22"/>
          <w:szCs w:val="22"/>
        </w:rPr>
        <w:t xml:space="preserve"> esta Constitución</w:t>
      </w:r>
      <w:r w:rsidRPr="002829EA">
        <w:rPr>
          <w:rFonts w:ascii="Lato" w:hAnsi="Lato"/>
          <w:bCs/>
          <w:i/>
          <w:sz w:val="22"/>
          <w:szCs w:val="22"/>
        </w:rPr>
        <w:t xml:space="preserve"> establece</w:t>
      </w:r>
      <w:r w:rsidR="00DD26CE">
        <w:rPr>
          <w:rFonts w:ascii="Lato" w:hAnsi="Lato"/>
          <w:bCs/>
          <w:i/>
        </w:rPr>
        <w:t>”</w:t>
      </w:r>
      <w:r w:rsidRPr="00DD26CE">
        <w:rPr>
          <w:rFonts w:ascii="Lato" w:hAnsi="Lato"/>
          <w:bCs/>
          <w:i/>
        </w:rPr>
        <w:t>.</w:t>
      </w:r>
    </w:p>
    <w:p w:rsidR="00F4051D" w:rsidRPr="001D02F7" w:rsidRDefault="00F4051D" w:rsidP="00F4051D">
      <w:pPr>
        <w:spacing w:line="360" w:lineRule="auto"/>
        <w:ind w:right="-279" w:firstLine="708"/>
        <w:jc w:val="both"/>
        <w:rPr>
          <w:rFonts w:ascii="Lato" w:hAnsi="Lato" w:cs="Arial"/>
          <w:lang w:val="es-ES"/>
        </w:rPr>
      </w:pPr>
    </w:p>
    <w:p w:rsidR="00F4051D" w:rsidRPr="001D02F7" w:rsidRDefault="00F4051D" w:rsidP="00BD26DA">
      <w:pPr>
        <w:spacing w:line="360" w:lineRule="auto"/>
        <w:jc w:val="both"/>
        <w:rPr>
          <w:rFonts w:ascii="Lato" w:hAnsi="Lato" w:cs="Arial"/>
        </w:rPr>
      </w:pPr>
      <w:r w:rsidRPr="001D02F7">
        <w:rPr>
          <w:rFonts w:ascii="Lato" w:hAnsi="Lato" w:cs="Arial"/>
        </w:rPr>
        <w:t>Acorde al marco constitucional, la Ley Orgánica del Poder Judicial del Estado establece que c</w:t>
      </w:r>
      <w:r w:rsidRPr="001D02F7">
        <w:rPr>
          <w:rFonts w:ascii="Lato" w:eastAsia="Calibri" w:hAnsi="Lato" w:cs="Arial"/>
        </w:rPr>
        <w:t xml:space="preserve">orresponde a los Tribunales de Justicia del Fuero Común del Estado de Baja California, </w:t>
      </w:r>
      <w:r w:rsidRPr="00DD26CE">
        <w:rPr>
          <w:rFonts w:ascii="Lato" w:eastAsia="Calibri" w:hAnsi="Lato" w:cs="Arial"/>
          <w:b/>
        </w:rPr>
        <w:t>la facultad de aplicar las leyes en los asuntos civiles, penales, de extinción de dominio, familiares y de justicia para adolescentes, que sean de su conocimiento,</w:t>
      </w:r>
      <w:r w:rsidRPr="00DD26CE">
        <w:rPr>
          <w:rFonts w:ascii="Lato" w:eastAsia="Calibri" w:hAnsi="Lato" w:cs="Arial"/>
        </w:rPr>
        <w:t xml:space="preserve"> </w:t>
      </w:r>
      <w:r w:rsidRPr="001D02F7">
        <w:rPr>
          <w:rFonts w:ascii="Lato" w:eastAsia="Calibri" w:hAnsi="Lato" w:cs="Arial"/>
        </w:rPr>
        <w:t xml:space="preserve">así como los casos en que las demás </w:t>
      </w:r>
      <w:r w:rsidRPr="001D02F7">
        <w:rPr>
          <w:rFonts w:ascii="Lato" w:hAnsi="Lato" w:cs="Arial"/>
        </w:rPr>
        <w:t>leyes les concedan jurisdicción.</w:t>
      </w:r>
      <w:r w:rsidR="00DD26CE">
        <w:rPr>
          <w:rFonts w:ascii="Lato" w:hAnsi="Lato" w:cs="Arial"/>
        </w:rPr>
        <w:t xml:space="preserve"> </w:t>
      </w:r>
      <w:r w:rsidRPr="001D02F7">
        <w:rPr>
          <w:rFonts w:ascii="Lato" w:hAnsi="Lato" w:cs="Arial"/>
        </w:rPr>
        <w:t>Numeral que garantiza el acceso a la justicia que prevé el artículo 17 de la Constitución Federal, el cual establece:</w:t>
      </w:r>
      <w:r w:rsidR="004779F3">
        <w:rPr>
          <w:rFonts w:ascii="Lato" w:hAnsi="Lato" w:cs="Arial"/>
        </w:rPr>
        <w:t xml:space="preserve"> </w:t>
      </w:r>
    </w:p>
    <w:p w:rsidR="00F4051D" w:rsidRPr="001D02F7" w:rsidRDefault="00F4051D" w:rsidP="00F4051D">
      <w:pPr>
        <w:spacing w:line="360" w:lineRule="auto"/>
        <w:ind w:right="-279" w:firstLine="708"/>
        <w:jc w:val="both"/>
        <w:rPr>
          <w:rFonts w:ascii="Lato" w:hAnsi="Lato" w:cs="Arial"/>
        </w:rPr>
      </w:pPr>
    </w:p>
    <w:p w:rsidR="00F4051D" w:rsidRPr="00504AF0" w:rsidRDefault="00F4051D" w:rsidP="00BD26DA">
      <w:pPr>
        <w:spacing w:line="360" w:lineRule="auto"/>
        <w:jc w:val="both"/>
        <w:rPr>
          <w:rFonts w:ascii="Lato" w:eastAsia="Arial" w:hAnsi="Lato" w:cs="Arial"/>
          <w:b/>
          <w:i/>
          <w:sz w:val="22"/>
          <w:szCs w:val="22"/>
        </w:rPr>
      </w:pPr>
      <w:bookmarkStart w:id="0" w:name="articulo-17"/>
      <w:r w:rsidRPr="007F0B48">
        <w:rPr>
          <w:rFonts w:ascii="Lato" w:eastAsia="Arial" w:hAnsi="Lato" w:cs="Arial"/>
          <w:i/>
        </w:rPr>
        <w:t>“</w:t>
      </w:r>
      <w:hyperlink r:id="rId9" w:anchor="article_17" w:history="1">
        <w:r w:rsidRPr="00504AF0">
          <w:rPr>
            <w:rFonts w:ascii="Lato" w:eastAsia="Arial" w:hAnsi="Lato" w:cs="Arial"/>
            <w:i/>
            <w:sz w:val="22"/>
            <w:szCs w:val="22"/>
          </w:rPr>
          <w:t>Artículo 17.</w:t>
        </w:r>
      </w:hyperlink>
      <w:bookmarkEnd w:id="0"/>
      <w:r w:rsidRPr="00504AF0">
        <w:rPr>
          <w:rFonts w:ascii="Lato" w:eastAsia="Arial" w:hAnsi="Lato" w:cs="Arial"/>
          <w:i/>
          <w:sz w:val="22"/>
          <w:szCs w:val="22"/>
        </w:rPr>
        <w:t>- Ninguna persona podrá hacerse justicia por sí misma, ni ejercer violencia para reclamar su derecho.</w:t>
      </w:r>
    </w:p>
    <w:p w:rsidR="00DD26CE" w:rsidRPr="00504AF0" w:rsidRDefault="00DD26CE" w:rsidP="00DD26CE">
      <w:pPr>
        <w:pStyle w:val="Ttulo"/>
        <w:tabs>
          <w:tab w:val="left" w:pos="8222"/>
          <w:tab w:val="left" w:pos="8364"/>
        </w:tabs>
        <w:ind w:right="855"/>
        <w:jc w:val="both"/>
        <w:rPr>
          <w:rFonts w:ascii="Lato" w:eastAsia="Arial" w:hAnsi="Lato" w:cs="Arial"/>
          <w:b w:val="0"/>
          <w:i/>
          <w:sz w:val="22"/>
          <w:lang w:val="es-MX"/>
        </w:rPr>
      </w:pPr>
    </w:p>
    <w:p w:rsidR="00F4051D" w:rsidRPr="00504AF0" w:rsidRDefault="00F4051D" w:rsidP="00BD26DA">
      <w:pPr>
        <w:spacing w:line="360" w:lineRule="auto"/>
        <w:jc w:val="both"/>
        <w:rPr>
          <w:rFonts w:ascii="Lato" w:eastAsia="Arial" w:hAnsi="Lato" w:cs="Arial"/>
          <w:b/>
          <w:i/>
          <w:sz w:val="22"/>
          <w:szCs w:val="22"/>
        </w:rPr>
      </w:pPr>
      <w:r w:rsidRPr="00504AF0">
        <w:rPr>
          <w:rFonts w:ascii="Lato" w:eastAsia="Arial" w:hAnsi="Lato" w:cs="Arial"/>
          <w:i/>
          <w:sz w:val="22"/>
          <w:szCs w:val="22"/>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DD26CE" w:rsidRPr="00504AF0" w:rsidRDefault="00DD26CE" w:rsidP="00DD26CE">
      <w:pPr>
        <w:pStyle w:val="Ttulo"/>
        <w:tabs>
          <w:tab w:val="left" w:pos="8222"/>
          <w:tab w:val="left" w:pos="8364"/>
        </w:tabs>
        <w:ind w:right="855"/>
        <w:jc w:val="both"/>
        <w:rPr>
          <w:rFonts w:ascii="Lato" w:eastAsia="Arial" w:hAnsi="Lato" w:cs="Arial"/>
          <w:b w:val="0"/>
          <w:i/>
          <w:sz w:val="22"/>
          <w:lang w:val="es-MX"/>
        </w:rPr>
      </w:pPr>
    </w:p>
    <w:p w:rsidR="00F4051D" w:rsidRPr="00504AF0" w:rsidRDefault="00F4051D" w:rsidP="00BD26DA">
      <w:pPr>
        <w:spacing w:line="360" w:lineRule="auto"/>
        <w:jc w:val="both"/>
        <w:rPr>
          <w:rFonts w:ascii="Lato" w:eastAsia="Arial" w:hAnsi="Lato" w:cs="Arial"/>
          <w:b/>
          <w:i/>
          <w:sz w:val="22"/>
          <w:szCs w:val="22"/>
        </w:rPr>
      </w:pPr>
      <w:r w:rsidRPr="00504AF0">
        <w:rPr>
          <w:rFonts w:ascii="Lato" w:eastAsia="Arial" w:hAnsi="Lato" w:cs="Arial"/>
          <w:i/>
          <w:sz w:val="22"/>
          <w:szCs w:val="22"/>
        </w:rPr>
        <w:t>Siempre que no se afecte la igualdad entre las partes, el debido proceso u otros derechos en los juicios o procedimientos seguidos en forma de juicio, las autoridades deberán privilegiar la solución del conflicto sobre los formalismos procedimentales.</w:t>
      </w:r>
    </w:p>
    <w:p w:rsidR="00BD26DA" w:rsidRDefault="00BD26DA" w:rsidP="00BD26DA">
      <w:pPr>
        <w:spacing w:line="360" w:lineRule="auto"/>
        <w:jc w:val="both"/>
        <w:rPr>
          <w:rFonts w:ascii="Lato" w:eastAsia="Arial" w:hAnsi="Lato" w:cs="Arial"/>
          <w:i/>
          <w:sz w:val="22"/>
          <w:szCs w:val="22"/>
        </w:rPr>
      </w:pPr>
    </w:p>
    <w:p w:rsidR="00F4051D" w:rsidRPr="00504AF0" w:rsidRDefault="00F4051D" w:rsidP="00BD26DA">
      <w:pPr>
        <w:spacing w:line="360" w:lineRule="auto"/>
        <w:jc w:val="both"/>
        <w:rPr>
          <w:rFonts w:ascii="Lato" w:eastAsia="Arial" w:hAnsi="Lato" w:cs="Arial"/>
          <w:b/>
          <w:i/>
          <w:sz w:val="22"/>
          <w:szCs w:val="22"/>
        </w:rPr>
      </w:pPr>
      <w:r w:rsidRPr="00504AF0">
        <w:rPr>
          <w:rFonts w:ascii="Lato" w:eastAsia="Arial" w:hAnsi="Lato" w:cs="Arial"/>
          <w:i/>
          <w:sz w:val="22"/>
          <w:szCs w:val="22"/>
        </w:rP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DD26CE" w:rsidRPr="00504AF0" w:rsidRDefault="00DD26CE" w:rsidP="00DD26CE">
      <w:pPr>
        <w:pStyle w:val="Ttulo"/>
        <w:tabs>
          <w:tab w:val="left" w:pos="8222"/>
          <w:tab w:val="left" w:pos="8364"/>
        </w:tabs>
        <w:ind w:right="855"/>
        <w:jc w:val="both"/>
        <w:rPr>
          <w:rFonts w:ascii="Lato" w:eastAsia="Arial" w:hAnsi="Lato" w:cs="Arial"/>
          <w:b w:val="0"/>
          <w:i/>
          <w:sz w:val="22"/>
          <w:lang w:val="es-MX"/>
        </w:rPr>
      </w:pPr>
    </w:p>
    <w:p w:rsidR="00F4051D" w:rsidRPr="00504AF0" w:rsidRDefault="00F4051D" w:rsidP="00BD26DA">
      <w:pPr>
        <w:spacing w:line="360" w:lineRule="auto"/>
        <w:jc w:val="both"/>
        <w:rPr>
          <w:rFonts w:ascii="Lato" w:eastAsia="Arial" w:hAnsi="Lato" w:cs="Arial"/>
          <w:b/>
          <w:i/>
          <w:sz w:val="22"/>
          <w:szCs w:val="22"/>
        </w:rPr>
      </w:pPr>
      <w:r w:rsidRPr="00504AF0">
        <w:rPr>
          <w:rFonts w:ascii="Lato" w:eastAsia="Arial" w:hAnsi="Lato" w:cs="Arial"/>
          <w:i/>
          <w:sz w:val="22"/>
          <w:szCs w:val="22"/>
        </w:rPr>
        <w:t>Las leyes preverán mecanismos alternativos de solución de controversias. En la materia penal regularán su aplicación, asegurarán la reparación del daño y establecerán los casos en los que se requerirá supervisión judicial.</w:t>
      </w:r>
    </w:p>
    <w:p w:rsidR="00DD26CE" w:rsidRPr="00504AF0" w:rsidRDefault="00DD26CE" w:rsidP="00DD26CE">
      <w:pPr>
        <w:pStyle w:val="Ttulo"/>
        <w:tabs>
          <w:tab w:val="left" w:pos="8222"/>
          <w:tab w:val="left" w:pos="8364"/>
        </w:tabs>
        <w:ind w:right="855"/>
        <w:jc w:val="both"/>
        <w:rPr>
          <w:rFonts w:ascii="Lato" w:eastAsia="Arial" w:hAnsi="Lato" w:cs="Arial"/>
          <w:b w:val="0"/>
          <w:i/>
          <w:sz w:val="22"/>
          <w:lang w:val="es-MX"/>
        </w:rPr>
      </w:pPr>
    </w:p>
    <w:p w:rsidR="00F4051D" w:rsidRPr="00504AF0" w:rsidRDefault="00F4051D" w:rsidP="00BD26DA">
      <w:pPr>
        <w:spacing w:line="360" w:lineRule="auto"/>
        <w:jc w:val="both"/>
        <w:rPr>
          <w:rFonts w:ascii="Lato" w:eastAsia="Arial" w:hAnsi="Lato" w:cs="Arial"/>
          <w:b/>
          <w:i/>
          <w:sz w:val="22"/>
          <w:szCs w:val="22"/>
        </w:rPr>
      </w:pPr>
      <w:r w:rsidRPr="00504AF0">
        <w:rPr>
          <w:rFonts w:ascii="Lato" w:eastAsia="Arial" w:hAnsi="Lato" w:cs="Arial"/>
          <w:i/>
          <w:sz w:val="22"/>
          <w:szCs w:val="22"/>
        </w:rPr>
        <w:t>Las sentencias que pongan fin a los procedimientos orales deberán ser explicadas en audiencia pública previa citación de las partes.</w:t>
      </w:r>
    </w:p>
    <w:p w:rsidR="00DD26CE" w:rsidRPr="00504AF0" w:rsidRDefault="00DD26CE" w:rsidP="00DD26CE">
      <w:pPr>
        <w:pStyle w:val="Ttulo"/>
        <w:tabs>
          <w:tab w:val="left" w:pos="8222"/>
          <w:tab w:val="left" w:pos="8364"/>
        </w:tabs>
        <w:ind w:right="855"/>
        <w:jc w:val="both"/>
        <w:rPr>
          <w:rFonts w:ascii="Lato" w:eastAsia="Arial" w:hAnsi="Lato" w:cs="Arial"/>
          <w:b w:val="0"/>
          <w:i/>
          <w:sz w:val="22"/>
          <w:lang w:val="es-MX"/>
        </w:rPr>
      </w:pPr>
    </w:p>
    <w:p w:rsidR="00F4051D" w:rsidRPr="00504AF0" w:rsidRDefault="00F4051D" w:rsidP="00BD26DA">
      <w:pPr>
        <w:spacing w:line="360" w:lineRule="auto"/>
        <w:jc w:val="both"/>
        <w:rPr>
          <w:rFonts w:ascii="Lato" w:eastAsia="Arial" w:hAnsi="Lato" w:cs="Arial"/>
          <w:b/>
          <w:i/>
          <w:sz w:val="22"/>
          <w:szCs w:val="22"/>
        </w:rPr>
      </w:pPr>
      <w:r w:rsidRPr="00504AF0">
        <w:rPr>
          <w:rFonts w:ascii="Lato" w:eastAsia="Arial" w:hAnsi="Lato" w:cs="Arial"/>
          <w:i/>
          <w:sz w:val="22"/>
          <w:szCs w:val="22"/>
        </w:rPr>
        <w:t>Las leyes federales y locales establecerán los medios necesarios para que se garantice la independencia de los tribunales y la plena ejecución de sus resoluciones.</w:t>
      </w:r>
    </w:p>
    <w:p w:rsidR="00DD26CE" w:rsidRPr="00504AF0" w:rsidRDefault="00DD26CE" w:rsidP="00DD26CE">
      <w:pPr>
        <w:pStyle w:val="Ttulo"/>
        <w:tabs>
          <w:tab w:val="left" w:pos="8222"/>
          <w:tab w:val="left" w:pos="8364"/>
        </w:tabs>
        <w:ind w:right="855"/>
        <w:jc w:val="both"/>
        <w:rPr>
          <w:rFonts w:ascii="Lato" w:eastAsia="Arial" w:hAnsi="Lato" w:cs="Arial"/>
          <w:b w:val="0"/>
          <w:i/>
          <w:sz w:val="22"/>
          <w:lang w:val="es-MX"/>
        </w:rPr>
      </w:pPr>
    </w:p>
    <w:p w:rsidR="00F4051D" w:rsidRPr="00504AF0" w:rsidRDefault="00F4051D" w:rsidP="00BD26DA">
      <w:pPr>
        <w:spacing w:line="360" w:lineRule="auto"/>
        <w:jc w:val="both"/>
        <w:rPr>
          <w:rFonts w:ascii="Lato" w:eastAsia="Arial" w:hAnsi="Lato" w:cs="Arial"/>
          <w:b/>
          <w:i/>
          <w:sz w:val="22"/>
          <w:szCs w:val="22"/>
        </w:rPr>
      </w:pPr>
      <w:r w:rsidRPr="00504AF0">
        <w:rPr>
          <w:rFonts w:ascii="Lato" w:eastAsia="Arial" w:hAnsi="Lato" w:cs="Arial"/>
          <w:i/>
          <w:sz w:val="22"/>
          <w:szCs w:val="22"/>
        </w:rP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DD26CE" w:rsidRPr="00504AF0" w:rsidRDefault="00DD26CE" w:rsidP="00DD26CE">
      <w:pPr>
        <w:pStyle w:val="Ttulo"/>
        <w:tabs>
          <w:tab w:val="left" w:pos="8222"/>
          <w:tab w:val="left" w:pos="8364"/>
        </w:tabs>
        <w:ind w:right="855"/>
        <w:jc w:val="both"/>
        <w:rPr>
          <w:rFonts w:ascii="Lato" w:eastAsia="Arial" w:hAnsi="Lato" w:cs="Arial"/>
          <w:b w:val="0"/>
          <w:i/>
          <w:sz w:val="22"/>
          <w:lang w:val="es-MX"/>
        </w:rPr>
      </w:pPr>
    </w:p>
    <w:p w:rsidR="00F4051D" w:rsidRPr="007F0B48" w:rsidRDefault="00F4051D" w:rsidP="00BD26DA">
      <w:pPr>
        <w:spacing w:line="360" w:lineRule="auto"/>
        <w:jc w:val="both"/>
        <w:rPr>
          <w:rFonts w:ascii="Lato" w:eastAsia="Arial" w:hAnsi="Lato" w:cs="Arial"/>
          <w:b/>
          <w:i/>
        </w:rPr>
      </w:pPr>
      <w:r w:rsidRPr="00504AF0">
        <w:rPr>
          <w:rFonts w:ascii="Lato" w:eastAsia="Arial" w:hAnsi="Lato" w:cs="Arial"/>
          <w:i/>
          <w:sz w:val="22"/>
          <w:szCs w:val="22"/>
        </w:rPr>
        <w:t>Nadie puede ser aprisionado por deudas de carácter puramente civil</w:t>
      </w:r>
      <w:r w:rsidR="00504AF0">
        <w:rPr>
          <w:rFonts w:ascii="Lato" w:eastAsia="Arial" w:hAnsi="Lato" w:cs="Arial"/>
          <w:i/>
        </w:rPr>
        <w:t>”</w:t>
      </w:r>
      <w:r w:rsidRPr="007F0B48">
        <w:rPr>
          <w:rFonts w:ascii="Lato" w:eastAsia="Arial" w:hAnsi="Lato" w:cs="Arial"/>
          <w:i/>
        </w:rPr>
        <w:t>.</w:t>
      </w:r>
    </w:p>
    <w:p w:rsidR="00F4051D" w:rsidRPr="001D02F7" w:rsidRDefault="00DD26CE" w:rsidP="00BD26DA">
      <w:pPr>
        <w:spacing w:line="360" w:lineRule="auto"/>
        <w:jc w:val="both"/>
        <w:rPr>
          <w:rFonts w:ascii="Lato" w:hAnsi="Lato" w:cs="Arial"/>
        </w:rPr>
      </w:pPr>
      <w:r>
        <w:rPr>
          <w:rFonts w:ascii="Lato" w:hAnsi="Lato" w:cs="Arial"/>
        </w:rPr>
        <w:t>Con los p</w:t>
      </w:r>
      <w:r w:rsidR="00F4051D" w:rsidRPr="001D02F7">
        <w:rPr>
          <w:rFonts w:ascii="Lato" w:hAnsi="Lato" w:cs="Arial"/>
        </w:rPr>
        <w:t xml:space="preserve">receptos normativos </w:t>
      </w:r>
      <w:r>
        <w:rPr>
          <w:rFonts w:ascii="Lato" w:hAnsi="Lato" w:cs="Arial"/>
        </w:rPr>
        <w:t xml:space="preserve">citados, </w:t>
      </w:r>
      <w:r w:rsidR="00F4051D" w:rsidRPr="001D02F7">
        <w:rPr>
          <w:rFonts w:ascii="Lato" w:hAnsi="Lato" w:cs="Arial"/>
        </w:rPr>
        <w:t xml:space="preserve">queda claro que </w:t>
      </w:r>
      <w:r w:rsidR="00504AF0">
        <w:rPr>
          <w:rFonts w:ascii="Lato" w:hAnsi="Lato" w:cs="Arial"/>
          <w:b/>
        </w:rPr>
        <w:t>e</w:t>
      </w:r>
      <w:r>
        <w:rPr>
          <w:rFonts w:ascii="Lato" w:hAnsi="Lato" w:cs="Arial"/>
          <w:b/>
        </w:rPr>
        <w:t xml:space="preserve">l </w:t>
      </w:r>
      <w:r w:rsidR="00F4051D" w:rsidRPr="00DD26CE">
        <w:rPr>
          <w:rFonts w:ascii="Lato" w:hAnsi="Lato" w:cs="Arial"/>
          <w:b/>
        </w:rPr>
        <w:t>P</w:t>
      </w:r>
      <w:r>
        <w:rPr>
          <w:rFonts w:ascii="Lato" w:hAnsi="Lato" w:cs="Arial"/>
          <w:b/>
        </w:rPr>
        <w:t>oder Judicial del Estado de Baja California, tiene encomendadas las funciones de impartición de justicia y administración de Justicia en la entidad</w:t>
      </w:r>
      <w:r w:rsidR="00F4051D" w:rsidRPr="00DD26CE">
        <w:rPr>
          <w:rFonts w:ascii="Lato" w:hAnsi="Lato" w:cs="Arial"/>
          <w:b/>
        </w:rPr>
        <w:t xml:space="preserve">, </w:t>
      </w:r>
      <w:r w:rsidR="00F4051D" w:rsidRPr="00DD26CE">
        <w:rPr>
          <w:rFonts w:ascii="Lato" w:hAnsi="Lato" w:cs="Arial"/>
        </w:rPr>
        <w:t>b</w:t>
      </w:r>
      <w:r w:rsidR="00F4051D" w:rsidRPr="001D02F7">
        <w:rPr>
          <w:rFonts w:ascii="Lato" w:hAnsi="Lato" w:cs="Arial"/>
        </w:rPr>
        <w:t xml:space="preserve">ajo los parámetros de gratitud, </w:t>
      </w:r>
      <w:proofErr w:type="spellStart"/>
      <w:r w:rsidR="00F4051D" w:rsidRPr="001D02F7">
        <w:rPr>
          <w:rFonts w:ascii="Lato" w:hAnsi="Lato" w:cs="Arial"/>
        </w:rPr>
        <w:t>expeditez</w:t>
      </w:r>
      <w:proofErr w:type="spellEnd"/>
      <w:r w:rsidR="00F4051D" w:rsidRPr="001D02F7">
        <w:rPr>
          <w:rFonts w:ascii="Lato" w:hAnsi="Lato" w:cs="Arial"/>
        </w:rPr>
        <w:t>, prontitud e imparcialidad.</w:t>
      </w:r>
    </w:p>
    <w:p w:rsidR="00F4051D" w:rsidRPr="001D02F7" w:rsidRDefault="00F4051D" w:rsidP="00F4051D">
      <w:pPr>
        <w:spacing w:line="360" w:lineRule="auto"/>
        <w:ind w:right="-279" w:firstLine="708"/>
        <w:jc w:val="both"/>
        <w:rPr>
          <w:rFonts w:ascii="Lato" w:hAnsi="Lato" w:cs="Arial"/>
        </w:rPr>
      </w:pPr>
    </w:p>
    <w:p w:rsidR="00F4051D" w:rsidRPr="001D02F7" w:rsidRDefault="00F4051D" w:rsidP="00BD26DA">
      <w:pPr>
        <w:spacing w:line="360" w:lineRule="auto"/>
        <w:jc w:val="both"/>
        <w:rPr>
          <w:rFonts w:ascii="Lato" w:hAnsi="Lato" w:cs="Arial"/>
        </w:rPr>
      </w:pPr>
      <w:r w:rsidRPr="001D02F7">
        <w:rPr>
          <w:rFonts w:ascii="Lato" w:hAnsi="Lato" w:cs="Arial"/>
        </w:rPr>
        <w:lastRenderedPageBreak/>
        <w:t>Con lo expuesto en líneas precedentes,</w:t>
      </w:r>
      <w:r w:rsidR="007F0B48">
        <w:rPr>
          <w:rFonts w:ascii="Lato" w:hAnsi="Lato" w:cs="Arial"/>
        </w:rPr>
        <w:t xml:space="preserve"> se </w:t>
      </w:r>
      <w:r w:rsidRPr="001D02F7">
        <w:rPr>
          <w:rFonts w:ascii="Lato" w:hAnsi="Lato" w:cs="Arial"/>
        </w:rPr>
        <w:t>conclu</w:t>
      </w:r>
      <w:r w:rsidR="007F0B48">
        <w:rPr>
          <w:rFonts w:ascii="Lato" w:hAnsi="Lato" w:cs="Arial"/>
        </w:rPr>
        <w:t>ye</w:t>
      </w:r>
      <w:r w:rsidRPr="001D02F7">
        <w:rPr>
          <w:rFonts w:ascii="Lato" w:hAnsi="Lato" w:cs="Arial"/>
        </w:rPr>
        <w:t xml:space="preserve"> que acorde con la funciones del Poder Judicial del Estado de Baja California, de impartición de justicia, </w:t>
      </w:r>
      <w:r w:rsidR="007F0B48">
        <w:rPr>
          <w:rFonts w:ascii="Lato" w:hAnsi="Lato" w:cs="Arial"/>
        </w:rPr>
        <w:t>é</w:t>
      </w:r>
      <w:r w:rsidRPr="001D02F7">
        <w:rPr>
          <w:rFonts w:ascii="Lato" w:hAnsi="Lato" w:cs="Arial"/>
        </w:rPr>
        <w:t>ste se aparta del cat</w:t>
      </w:r>
      <w:r w:rsidR="007F0B48">
        <w:rPr>
          <w:rFonts w:ascii="Lato" w:hAnsi="Lato" w:cs="Arial"/>
        </w:rPr>
        <w:t>á</w:t>
      </w:r>
      <w:r w:rsidRPr="001D02F7">
        <w:rPr>
          <w:rFonts w:ascii="Lato" w:hAnsi="Lato" w:cs="Arial"/>
        </w:rPr>
        <w:t>logo de instancias señalado en el artículo 189 de la Ley Federal de Telecomunicaciones.</w:t>
      </w:r>
    </w:p>
    <w:p w:rsidR="00F4051D" w:rsidRPr="001D02F7" w:rsidRDefault="00F4051D" w:rsidP="00F4051D">
      <w:pPr>
        <w:spacing w:line="360" w:lineRule="auto"/>
        <w:ind w:right="-279" w:firstLine="708"/>
        <w:jc w:val="both"/>
        <w:rPr>
          <w:rFonts w:ascii="Lato" w:hAnsi="Lato" w:cs="Arial"/>
        </w:rPr>
      </w:pPr>
    </w:p>
    <w:p w:rsidR="00F4051D" w:rsidRPr="001D02F7" w:rsidRDefault="00F4051D" w:rsidP="00BD26DA">
      <w:pPr>
        <w:spacing w:line="360" w:lineRule="auto"/>
        <w:jc w:val="both"/>
        <w:rPr>
          <w:rFonts w:ascii="Lato" w:hAnsi="Lato" w:cs="Arial"/>
          <w:i/>
        </w:rPr>
      </w:pPr>
      <w:r w:rsidRPr="001D02F7">
        <w:rPr>
          <w:rFonts w:ascii="Lato" w:hAnsi="Lato" w:cs="Arial"/>
        </w:rPr>
        <w:t xml:space="preserve">En consecuencia, si el Poder Judicial del Estado no entra en tal clasificación, lo obvio es </w:t>
      </w:r>
      <w:r w:rsidR="007F0B48">
        <w:rPr>
          <w:rFonts w:ascii="Lato" w:hAnsi="Lato" w:cs="Arial"/>
        </w:rPr>
        <w:t>determinar</w:t>
      </w:r>
      <w:r w:rsidRPr="001D02F7">
        <w:rPr>
          <w:rFonts w:ascii="Lato" w:hAnsi="Lato" w:cs="Arial"/>
          <w:b/>
          <w:i/>
        </w:rPr>
        <w:t xml:space="preserve"> </w:t>
      </w:r>
      <w:r w:rsidRPr="001D02F7">
        <w:rPr>
          <w:rFonts w:ascii="Lato" w:hAnsi="Lato" w:cs="Arial"/>
          <w:i/>
        </w:rPr>
        <w:t>¿Cuáles son las instancias de seguridad y procuración de justicia que refiere el artículo 189 de la Ley Federal de Telecomunicaciones?</w:t>
      </w:r>
    </w:p>
    <w:p w:rsidR="00BD26DA" w:rsidRDefault="00BD26DA" w:rsidP="00BD26DA">
      <w:pPr>
        <w:spacing w:line="360" w:lineRule="auto"/>
        <w:jc w:val="both"/>
        <w:rPr>
          <w:rFonts w:ascii="Lato" w:hAnsi="Lato" w:cs="Arial"/>
        </w:rPr>
      </w:pPr>
    </w:p>
    <w:p w:rsidR="00F4051D" w:rsidRPr="001D02F7" w:rsidRDefault="00F4051D" w:rsidP="00BD26DA">
      <w:pPr>
        <w:spacing w:line="360" w:lineRule="auto"/>
        <w:jc w:val="both"/>
        <w:rPr>
          <w:rFonts w:ascii="Lato" w:hAnsi="Lato" w:cs="Arial"/>
        </w:rPr>
      </w:pPr>
      <w:r w:rsidRPr="001D02F7">
        <w:rPr>
          <w:rFonts w:ascii="Lato" w:hAnsi="Lato" w:cs="Arial"/>
        </w:rPr>
        <w:t>Para contestar dicha interrogante deviene oportuno referir lo establecido en el artículo 21 de la Carta Magna, cuya parte que interesa establece:</w:t>
      </w:r>
      <w:r w:rsidR="004779F3">
        <w:rPr>
          <w:rFonts w:ascii="Lato" w:hAnsi="Lato" w:cs="Arial"/>
        </w:rPr>
        <w:t xml:space="preserve"> </w:t>
      </w:r>
    </w:p>
    <w:p w:rsidR="00F4051D" w:rsidRPr="001D02F7" w:rsidRDefault="004779F3" w:rsidP="00F4051D">
      <w:pPr>
        <w:spacing w:line="360" w:lineRule="auto"/>
        <w:ind w:right="-279" w:firstLine="708"/>
        <w:jc w:val="both"/>
        <w:rPr>
          <w:rFonts w:ascii="Lato" w:hAnsi="Lato" w:cs="Arial"/>
          <w:i/>
        </w:rPr>
      </w:pPr>
      <w:r>
        <w:rPr>
          <w:rFonts w:ascii="Lato" w:hAnsi="Lato" w:cs="Arial"/>
          <w:i/>
        </w:rPr>
        <w:t xml:space="preserve"> </w:t>
      </w:r>
    </w:p>
    <w:p w:rsidR="00F4051D" w:rsidRPr="00504AF0" w:rsidRDefault="00F4051D" w:rsidP="007F0B48">
      <w:pPr>
        <w:pStyle w:val="Ttulo"/>
        <w:tabs>
          <w:tab w:val="left" w:pos="8222"/>
          <w:tab w:val="left" w:pos="8364"/>
        </w:tabs>
        <w:ind w:right="855"/>
        <w:jc w:val="both"/>
        <w:rPr>
          <w:rFonts w:ascii="Lato" w:hAnsi="Lato" w:cs="Arial"/>
          <w:b w:val="0"/>
          <w:i/>
          <w:sz w:val="22"/>
          <w:lang w:val="es-MX"/>
        </w:rPr>
      </w:pPr>
      <w:r w:rsidRPr="001D02F7">
        <w:rPr>
          <w:rFonts w:ascii="Lato" w:hAnsi="Lato" w:cs="Arial"/>
          <w:i/>
          <w:sz w:val="24"/>
          <w:szCs w:val="24"/>
          <w:lang w:val="es-MX"/>
        </w:rPr>
        <w:t>“</w:t>
      </w:r>
      <w:r w:rsidRPr="00504AF0">
        <w:rPr>
          <w:rFonts w:ascii="Lato" w:hAnsi="Lato" w:cs="Arial"/>
          <w:i/>
          <w:sz w:val="22"/>
          <w:lang w:val="es-MX"/>
        </w:rPr>
        <w:t>Artículo 21.</w:t>
      </w:r>
      <w:r w:rsidR="007F0B48" w:rsidRPr="00504AF0">
        <w:rPr>
          <w:rFonts w:ascii="Lato" w:hAnsi="Lato" w:cs="Arial"/>
          <w:i/>
          <w:sz w:val="22"/>
          <w:lang w:val="es-MX"/>
        </w:rPr>
        <w:t xml:space="preserve"> </w:t>
      </w:r>
      <w:r w:rsidR="007F0B48" w:rsidRPr="00504AF0">
        <w:rPr>
          <w:rFonts w:ascii="Lato" w:hAnsi="Lato" w:cs="Arial"/>
          <w:b w:val="0"/>
          <w:i/>
          <w:sz w:val="22"/>
          <w:lang w:val="es-MX"/>
        </w:rPr>
        <w:t>(</w:t>
      </w:r>
      <w:r w:rsidRPr="00504AF0">
        <w:rPr>
          <w:rFonts w:ascii="Lato" w:hAnsi="Lato" w:cs="Arial"/>
          <w:b w:val="0"/>
          <w:i/>
          <w:sz w:val="22"/>
          <w:lang w:val="es-MX"/>
        </w:rPr>
        <w:t>…</w:t>
      </w:r>
      <w:r w:rsidR="007F0B48" w:rsidRPr="00504AF0">
        <w:rPr>
          <w:rFonts w:ascii="Lato" w:hAnsi="Lato" w:cs="Arial"/>
          <w:b w:val="0"/>
          <w:i/>
          <w:sz w:val="22"/>
          <w:lang w:val="es-MX"/>
        </w:rPr>
        <w:t>)</w:t>
      </w:r>
    </w:p>
    <w:p w:rsidR="007F0B48" w:rsidRPr="00504AF0" w:rsidRDefault="007F0B48" w:rsidP="007F0B48">
      <w:pPr>
        <w:pStyle w:val="Ttulo"/>
        <w:tabs>
          <w:tab w:val="left" w:pos="8222"/>
          <w:tab w:val="left" w:pos="8364"/>
        </w:tabs>
        <w:ind w:right="855"/>
        <w:jc w:val="both"/>
        <w:rPr>
          <w:rFonts w:ascii="Lato" w:hAnsi="Lato" w:cs="Arial"/>
          <w:b w:val="0"/>
          <w:i/>
          <w:sz w:val="22"/>
          <w:lang w:val="es-MX"/>
        </w:rPr>
      </w:pPr>
    </w:p>
    <w:p w:rsidR="00F4051D" w:rsidRPr="00504AF0" w:rsidRDefault="00F4051D" w:rsidP="00BD26DA">
      <w:pPr>
        <w:spacing w:line="360" w:lineRule="auto"/>
        <w:jc w:val="both"/>
        <w:rPr>
          <w:rFonts w:ascii="Lato" w:hAnsi="Lato" w:cs="Arial"/>
          <w:b/>
          <w:i/>
          <w:sz w:val="22"/>
          <w:szCs w:val="22"/>
        </w:rPr>
      </w:pPr>
      <w:r w:rsidRPr="00504AF0">
        <w:rPr>
          <w:rFonts w:ascii="Lato" w:hAnsi="Lato" w:cs="Arial"/>
          <w:i/>
          <w:sz w:val="22"/>
          <w:szCs w:val="22"/>
        </w:rPr>
        <w:t xml:space="preserve">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 </w:t>
      </w:r>
    </w:p>
    <w:p w:rsidR="007F0B48" w:rsidRPr="00504AF0" w:rsidRDefault="007F0B48" w:rsidP="007F0B48">
      <w:pPr>
        <w:pStyle w:val="Ttulo"/>
        <w:tabs>
          <w:tab w:val="left" w:pos="8222"/>
          <w:tab w:val="left" w:pos="8364"/>
        </w:tabs>
        <w:ind w:right="855"/>
        <w:jc w:val="both"/>
        <w:rPr>
          <w:rFonts w:ascii="Lato" w:hAnsi="Lato" w:cs="Arial"/>
          <w:b w:val="0"/>
          <w:i/>
          <w:sz w:val="22"/>
          <w:lang w:val="es-MX"/>
        </w:rPr>
      </w:pPr>
    </w:p>
    <w:p w:rsidR="00F4051D" w:rsidRPr="007F0B48" w:rsidRDefault="00F4051D" w:rsidP="00BD26DA">
      <w:pPr>
        <w:spacing w:line="360" w:lineRule="auto"/>
        <w:jc w:val="both"/>
        <w:rPr>
          <w:rFonts w:ascii="Lato" w:hAnsi="Lato" w:cs="Arial"/>
          <w:b/>
          <w:i/>
        </w:rPr>
      </w:pPr>
      <w:r w:rsidRPr="00504AF0">
        <w:rPr>
          <w:rFonts w:ascii="Lato" w:hAnsi="Lato" w:cs="Arial"/>
          <w:i/>
          <w:sz w:val="22"/>
          <w:szCs w:val="22"/>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w:t>
      </w:r>
      <w:r w:rsidRPr="007F0B48">
        <w:rPr>
          <w:rFonts w:ascii="Lato" w:hAnsi="Lato" w:cs="Arial"/>
          <w:i/>
        </w:rPr>
        <w:t xml:space="preserve">” </w:t>
      </w:r>
    </w:p>
    <w:p w:rsidR="007F0B48" w:rsidRDefault="007F0B48" w:rsidP="007F0B48">
      <w:pPr>
        <w:spacing w:line="360" w:lineRule="auto"/>
        <w:ind w:right="-279"/>
        <w:jc w:val="both"/>
        <w:rPr>
          <w:rFonts w:ascii="Lato" w:hAnsi="Lato" w:cs="Arial"/>
          <w:b/>
        </w:rPr>
      </w:pPr>
    </w:p>
    <w:p w:rsidR="00F4051D" w:rsidRPr="001D02F7" w:rsidRDefault="007F0B48" w:rsidP="00BD26DA">
      <w:pPr>
        <w:spacing w:line="360" w:lineRule="auto"/>
        <w:jc w:val="both"/>
        <w:rPr>
          <w:rFonts w:ascii="Lato" w:hAnsi="Lato" w:cs="Arial"/>
        </w:rPr>
      </w:pPr>
      <w:r>
        <w:rPr>
          <w:rFonts w:ascii="Lato" w:hAnsi="Lato" w:cs="Arial"/>
        </w:rPr>
        <w:t xml:space="preserve">El referido </w:t>
      </w:r>
      <w:r w:rsidR="00F4051D" w:rsidRPr="001D02F7">
        <w:rPr>
          <w:rFonts w:ascii="Lato" w:hAnsi="Lato" w:cs="Arial"/>
        </w:rPr>
        <w:t xml:space="preserve">Artículo 21 Constitucional es reglamentado por la Ley General del Sistema Nacional de Seguridad Pública, cuyo objetivo comprende el </w:t>
      </w:r>
      <w:r>
        <w:rPr>
          <w:rFonts w:ascii="Lato" w:hAnsi="Lato" w:cs="Arial"/>
        </w:rPr>
        <w:t xml:space="preserve">de </w:t>
      </w:r>
      <w:r w:rsidR="00F4051D" w:rsidRPr="001D02F7">
        <w:rPr>
          <w:rFonts w:ascii="Lato" w:hAnsi="Lato" w:cs="Arial"/>
        </w:rPr>
        <w:t>regular la integración, organización y funcionamiento del Sistema Nacional de Seguridad Pública, así como establecer la distribución de competencias y las bases de coordinación entre la Federación, los Estados, el Distrito Federal y los Municipios, en esa materia.</w:t>
      </w:r>
    </w:p>
    <w:p w:rsidR="00F4051D" w:rsidRPr="001D02F7" w:rsidRDefault="00F4051D" w:rsidP="00F4051D">
      <w:pPr>
        <w:spacing w:line="360" w:lineRule="auto"/>
        <w:ind w:right="-279" w:firstLine="708"/>
        <w:jc w:val="both"/>
        <w:rPr>
          <w:rFonts w:ascii="Lato" w:hAnsi="Lato" w:cs="Arial"/>
        </w:rPr>
      </w:pPr>
    </w:p>
    <w:p w:rsidR="00F4051D" w:rsidRPr="001D02F7" w:rsidRDefault="00F4051D" w:rsidP="00BD26DA">
      <w:pPr>
        <w:spacing w:line="360" w:lineRule="auto"/>
        <w:jc w:val="both"/>
        <w:rPr>
          <w:rFonts w:ascii="Lato" w:hAnsi="Lato" w:cs="Arial"/>
        </w:rPr>
      </w:pPr>
      <w:r w:rsidRPr="001D02F7">
        <w:rPr>
          <w:rFonts w:ascii="Lato" w:hAnsi="Lato" w:cs="Arial"/>
        </w:rPr>
        <w:lastRenderedPageBreak/>
        <w:t>De esta forma, la Ley General del Sistema Nacional de Segundad Pública, en su artículo 3 señala que la función de Seguridad Pública se realizará en los diversos ámbitos de competencia por conducto de las Instituciones Policiales, de Procuración de Justicia, de las instancias encargadas de aplicar las infracciones administrativas, de la supervisión de medidas cautelares, de suspensión condicional del procedimiento de los responsables de la prisión preventiva y ejecución de penas, así como por las demás autoridades que en razón de sus atribuciones deban contribuir directa o indirectamente al objeto de esta Ley.</w:t>
      </w:r>
    </w:p>
    <w:p w:rsidR="00F4051D" w:rsidRPr="001D02F7" w:rsidRDefault="00F4051D" w:rsidP="00F4051D">
      <w:pPr>
        <w:spacing w:line="360" w:lineRule="auto"/>
        <w:ind w:right="-279" w:firstLine="708"/>
        <w:jc w:val="both"/>
        <w:rPr>
          <w:rFonts w:ascii="Lato" w:hAnsi="Lato" w:cs="Arial"/>
        </w:rPr>
      </w:pPr>
    </w:p>
    <w:p w:rsidR="00F4051D" w:rsidRDefault="00F4051D" w:rsidP="00BD26DA">
      <w:pPr>
        <w:spacing w:line="360" w:lineRule="auto"/>
        <w:jc w:val="both"/>
        <w:rPr>
          <w:rFonts w:ascii="Lato" w:hAnsi="Lato" w:cs="Arial"/>
        </w:rPr>
      </w:pPr>
      <w:r w:rsidRPr="001D02F7">
        <w:rPr>
          <w:rFonts w:ascii="Lato" w:hAnsi="Lato" w:cs="Arial"/>
        </w:rPr>
        <w:t>Para estar en aptitud de cumplir con lo anterior, la ley en estudio propone un glosario de diversos conceptos, entre los cuales encontramos:</w:t>
      </w:r>
    </w:p>
    <w:p w:rsidR="00BD26DA" w:rsidRPr="001D02F7" w:rsidRDefault="00BD26DA" w:rsidP="00BD26DA">
      <w:pPr>
        <w:spacing w:line="360" w:lineRule="auto"/>
        <w:jc w:val="both"/>
        <w:rPr>
          <w:rFonts w:ascii="Lato" w:hAnsi="Lato" w:cs="Arial"/>
        </w:rPr>
      </w:pPr>
    </w:p>
    <w:p w:rsidR="00F4051D" w:rsidRPr="00504AF0" w:rsidRDefault="00504AF0" w:rsidP="00BD26DA">
      <w:pPr>
        <w:spacing w:line="360" w:lineRule="auto"/>
        <w:jc w:val="both"/>
        <w:rPr>
          <w:rFonts w:ascii="Lato" w:hAnsi="Lato" w:cs="Arial"/>
          <w:b/>
          <w:i/>
          <w:sz w:val="22"/>
          <w:szCs w:val="22"/>
        </w:rPr>
      </w:pPr>
      <w:r w:rsidRPr="007F0B48">
        <w:rPr>
          <w:rFonts w:ascii="Lato" w:hAnsi="Lato" w:cs="Arial"/>
          <w:b/>
          <w:i/>
        </w:rPr>
        <w:t xml:space="preserve"> </w:t>
      </w:r>
      <w:r w:rsidR="00F4051D" w:rsidRPr="007F0B48">
        <w:rPr>
          <w:rFonts w:ascii="Lato" w:hAnsi="Lato" w:cs="Arial"/>
          <w:i/>
        </w:rPr>
        <w:t>“</w:t>
      </w:r>
      <w:r w:rsidR="00F4051D" w:rsidRPr="00504AF0">
        <w:rPr>
          <w:rFonts w:ascii="Lato" w:hAnsi="Lato" w:cs="Arial"/>
          <w:i/>
          <w:sz w:val="22"/>
          <w:szCs w:val="22"/>
        </w:rPr>
        <w:t>Artículo 5.- Para los efectos de esta Ley, se entenderá por:</w:t>
      </w:r>
    </w:p>
    <w:p w:rsidR="007F0B48" w:rsidRPr="00504AF0" w:rsidRDefault="007F0B48" w:rsidP="00504AF0">
      <w:pPr>
        <w:spacing w:line="360" w:lineRule="auto"/>
        <w:ind w:right="-279"/>
        <w:jc w:val="both"/>
        <w:rPr>
          <w:rFonts w:ascii="Lato" w:hAnsi="Lato" w:cs="Arial"/>
          <w:b/>
          <w:i/>
          <w:sz w:val="22"/>
          <w:szCs w:val="22"/>
        </w:rPr>
      </w:pPr>
      <w:r w:rsidRPr="00504AF0">
        <w:rPr>
          <w:rFonts w:ascii="Lato" w:hAnsi="Lato" w:cs="Arial"/>
          <w:i/>
          <w:sz w:val="22"/>
          <w:szCs w:val="22"/>
        </w:rPr>
        <w:t>(...)</w:t>
      </w:r>
    </w:p>
    <w:p w:rsidR="00F4051D" w:rsidRPr="00504AF0" w:rsidRDefault="00F4051D" w:rsidP="00BD26DA">
      <w:pPr>
        <w:spacing w:line="360" w:lineRule="auto"/>
        <w:jc w:val="both"/>
        <w:rPr>
          <w:rFonts w:ascii="Lato" w:hAnsi="Lato" w:cs="Arial"/>
          <w:b/>
          <w:i/>
          <w:sz w:val="22"/>
          <w:szCs w:val="22"/>
        </w:rPr>
      </w:pPr>
      <w:r w:rsidRPr="00504AF0">
        <w:rPr>
          <w:rFonts w:ascii="Lato" w:hAnsi="Lato" w:cs="Arial"/>
          <w:i/>
          <w:sz w:val="22"/>
          <w:szCs w:val="22"/>
        </w:rPr>
        <w:t>VIII. Instituciones de Seguridad</w:t>
      </w:r>
      <w:r w:rsidRPr="00504AF0">
        <w:rPr>
          <w:rFonts w:ascii="Lato" w:hAnsi="Lato"/>
          <w:bCs/>
          <w:i/>
          <w:sz w:val="22"/>
          <w:szCs w:val="22"/>
        </w:rPr>
        <w:t xml:space="preserve"> </w:t>
      </w:r>
      <w:r w:rsidRPr="00504AF0">
        <w:rPr>
          <w:rFonts w:ascii="Lato" w:hAnsi="Lato" w:cs="Arial"/>
          <w:i/>
          <w:sz w:val="22"/>
          <w:szCs w:val="22"/>
        </w:rPr>
        <w:t>Pública: a las instituciones Policiales, de Procuración de Justicia, del Sistema Penitenciario y dependencias encargadas de la Seguridad Pública a nivel federal, local y municipal;</w:t>
      </w:r>
    </w:p>
    <w:p w:rsidR="007F0B48" w:rsidRPr="00504AF0" w:rsidRDefault="00504AF0" w:rsidP="00504AF0">
      <w:pPr>
        <w:spacing w:line="360" w:lineRule="auto"/>
        <w:ind w:right="-279"/>
        <w:jc w:val="both"/>
        <w:rPr>
          <w:rFonts w:ascii="Lato" w:hAnsi="Lato" w:cs="Arial"/>
          <w:b/>
          <w:i/>
          <w:sz w:val="22"/>
          <w:szCs w:val="22"/>
        </w:rPr>
      </w:pPr>
      <w:r w:rsidRPr="00504AF0">
        <w:rPr>
          <w:rFonts w:ascii="Lato" w:hAnsi="Lato" w:cs="Arial"/>
          <w:i/>
          <w:sz w:val="22"/>
          <w:szCs w:val="22"/>
        </w:rPr>
        <w:t xml:space="preserve"> </w:t>
      </w:r>
      <w:r w:rsidR="007F0B48" w:rsidRPr="00504AF0">
        <w:rPr>
          <w:rFonts w:ascii="Lato" w:hAnsi="Lato" w:cs="Arial"/>
          <w:i/>
          <w:sz w:val="22"/>
          <w:szCs w:val="22"/>
        </w:rPr>
        <w:t>(…)</w:t>
      </w:r>
    </w:p>
    <w:p w:rsidR="00F4051D" w:rsidRPr="007F0B48" w:rsidRDefault="00F4051D" w:rsidP="00BD26DA">
      <w:pPr>
        <w:spacing w:line="360" w:lineRule="auto"/>
        <w:jc w:val="both"/>
        <w:rPr>
          <w:rFonts w:ascii="Lato" w:hAnsi="Lato" w:cs="Arial"/>
          <w:b/>
          <w:i/>
        </w:rPr>
      </w:pPr>
      <w:r w:rsidRPr="00504AF0">
        <w:rPr>
          <w:rFonts w:ascii="Lato" w:hAnsi="Lato" w:cs="Arial"/>
          <w:i/>
          <w:sz w:val="22"/>
          <w:szCs w:val="22"/>
        </w:rPr>
        <w:t>IX. Instituciones de Procuración de Justicia: a las Instituciones de la Federación y entidades federativas que integran al Ministerio Público, los servicios periciales, policías de investigación y demás auxiliares de aquel; Fracción reformada</w:t>
      </w:r>
      <w:r w:rsidR="00504AF0">
        <w:rPr>
          <w:rFonts w:ascii="Lato" w:hAnsi="Lato" w:cs="Arial"/>
          <w:i/>
        </w:rPr>
        <w:t>”.</w:t>
      </w:r>
    </w:p>
    <w:p w:rsidR="00F4051D" w:rsidRPr="001D02F7" w:rsidRDefault="00F4051D" w:rsidP="00F4051D">
      <w:pPr>
        <w:ind w:right="-279"/>
        <w:jc w:val="center"/>
        <w:rPr>
          <w:rFonts w:ascii="Lato" w:hAnsi="Lato" w:cs="Arial"/>
          <w:b/>
        </w:rPr>
      </w:pPr>
    </w:p>
    <w:p w:rsidR="00F4051D" w:rsidRPr="001D02F7" w:rsidRDefault="00F4051D" w:rsidP="00F4051D">
      <w:pPr>
        <w:ind w:right="-279"/>
        <w:jc w:val="center"/>
        <w:rPr>
          <w:rFonts w:ascii="Lato" w:hAnsi="Lato" w:cs="Arial"/>
          <w:b/>
        </w:rPr>
      </w:pPr>
    </w:p>
    <w:p w:rsidR="00F4051D" w:rsidRPr="001D02F7" w:rsidRDefault="00F4051D" w:rsidP="00BD26DA">
      <w:pPr>
        <w:spacing w:line="360" w:lineRule="auto"/>
        <w:jc w:val="both"/>
        <w:rPr>
          <w:rFonts w:ascii="Lato" w:hAnsi="Lato" w:cs="Arial"/>
          <w:b/>
        </w:rPr>
      </w:pPr>
      <w:r w:rsidRPr="001D02F7">
        <w:rPr>
          <w:rFonts w:ascii="Lato" w:hAnsi="Lato" w:cs="Arial"/>
        </w:rPr>
        <w:t xml:space="preserve">Como es de </w:t>
      </w:r>
      <w:r w:rsidR="007F0B48">
        <w:rPr>
          <w:rFonts w:ascii="Lato" w:hAnsi="Lato" w:cs="Arial"/>
        </w:rPr>
        <w:t>observar,</w:t>
      </w:r>
      <w:r w:rsidRPr="001D02F7">
        <w:rPr>
          <w:rFonts w:ascii="Lato" w:hAnsi="Lato" w:cs="Arial"/>
        </w:rPr>
        <w:t xml:space="preserve"> </w:t>
      </w:r>
      <w:r w:rsidRPr="007F0B48">
        <w:rPr>
          <w:rFonts w:ascii="Lato" w:hAnsi="Lato" w:cs="Arial"/>
          <w:b/>
        </w:rPr>
        <w:t>la Ley General del Sistema Nacional de Seguridad Pública</w:t>
      </w:r>
      <w:r w:rsidRPr="001D02F7">
        <w:rPr>
          <w:rFonts w:ascii="Lato" w:hAnsi="Lato" w:cs="Arial"/>
        </w:rPr>
        <w:t xml:space="preserve">, cuya observancia aplica en todo el territorio nacional, </w:t>
      </w:r>
      <w:r w:rsidRPr="001D02F7">
        <w:rPr>
          <w:rFonts w:ascii="Lato" w:hAnsi="Lato" w:cs="Arial"/>
          <w:b/>
        </w:rPr>
        <w:t>especifica las instancias encargadas de la seguridad pública y procuración de justicia, dentro de las cuales</w:t>
      </w:r>
      <w:r w:rsidR="007F0B48">
        <w:rPr>
          <w:rFonts w:ascii="Lato" w:hAnsi="Lato" w:cs="Arial"/>
          <w:b/>
        </w:rPr>
        <w:t xml:space="preserve"> no</w:t>
      </w:r>
      <w:r w:rsidRPr="001D02F7">
        <w:rPr>
          <w:rFonts w:ascii="Lato" w:hAnsi="Lato" w:cs="Arial"/>
          <w:b/>
        </w:rPr>
        <w:t xml:space="preserve"> se encuentran los Poderes Judiciales de los Estados. </w:t>
      </w:r>
    </w:p>
    <w:p w:rsidR="00F4051D" w:rsidRPr="001D02F7" w:rsidRDefault="00F4051D" w:rsidP="00F4051D">
      <w:pPr>
        <w:spacing w:line="360" w:lineRule="auto"/>
        <w:ind w:right="-279" w:firstLine="708"/>
        <w:jc w:val="both"/>
        <w:rPr>
          <w:rFonts w:ascii="Lato" w:hAnsi="Lato" w:cs="Arial"/>
        </w:rPr>
      </w:pPr>
    </w:p>
    <w:p w:rsidR="00F4051D" w:rsidRPr="001D02F7" w:rsidRDefault="00F4051D" w:rsidP="00BD26DA">
      <w:pPr>
        <w:spacing w:line="360" w:lineRule="auto"/>
        <w:jc w:val="both"/>
        <w:rPr>
          <w:rFonts w:ascii="Lato" w:hAnsi="Lato" w:cs="Arial"/>
        </w:rPr>
      </w:pPr>
      <w:r w:rsidRPr="001D02F7">
        <w:rPr>
          <w:rFonts w:ascii="Lato" w:hAnsi="Lato" w:cs="Arial"/>
        </w:rPr>
        <w:t xml:space="preserve">En tal sentido, al tenerse por acreditado que el </w:t>
      </w:r>
      <w:r w:rsidRPr="007F0B48">
        <w:rPr>
          <w:rFonts w:ascii="Lato" w:hAnsi="Lato" w:cs="Arial"/>
          <w:b/>
        </w:rPr>
        <w:t>Poder Judicial del Estado</w:t>
      </w:r>
      <w:r w:rsidRPr="001D02F7">
        <w:rPr>
          <w:rFonts w:ascii="Lato" w:hAnsi="Lato" w:cs="Arial"/>
        </w:rPr>
        <w:t xml:space="preserve">, de acuerdo al marco legal vigente, </w:t>
      </w:r>
      <w:r w:rsidRPr="007F0B48">
        <w:rPr>
          <w:rFonts w:ascii="Lato" w:hAnsi="Lato" w:cs="Arial"/>
          <w:b/>
        </w:rPr>
        <w:t>no realiza funciones de seguridad pública y procuración de justicia</w:t>
      </w:r>
      <w:r w:rsidRPr="001D02F7">
        <w:rPr>
          <w:rFonts w:ascii="Lato" w:hAnsi="Lato" w:cs="Arial"/>
        </w:rPr>
        <w:t xml:space="preserve">, es </w:t>
      </w:r>
      <w:r w:rsidR="00504AF0">
        <w:rPr>
          <w:rFonts w:ascii="Lato" w:hAnsi="Lato" w:cs="Arial"/>
        </w:rPr>
        <w:t>i</w:t>
      </w:r>
      <w:r w:rsidRPr="001D02F7">
        <w:rPr>
          <w:rFonts w:ascii="Lato" w:hAnsi="Lato" w:cs="Arial"/>
        </w:rPr>
        <w:t xml:space="preserve">ndiscutible que </w:t>
      </w:r>
      <w:r w:rsidRPr="007F0B48">
        <w:rPr>
          <w:rFonts w:ascii="Lato" w:hAnsi="Lato" w:cs="Arial"/>
          <w:b/>
        </w:rPr>
        <w:t xml:space="preserve">no le es exigible la obligación contenida en el artículo 189 de la Ley </w:t>
      </w:r>
      <w:r w:rsidRPr="007F0B48">
        <w:rPr>
          <w:rFonts w:ascii="Lato" w:hAnsi="Lato" w:cs="Arial"/>
          <w:b/>
        </w:rPr>
        <w:lastRenderedPageBreak/>
        <w:t xml:space="preserve">Federal de Telecomunicaciones, </w:t>
      </w:r>
      <w:r w:rsidRPr="001D02F7">
        <w:rPr>
          <w:rFonts w:ascii="Lato" w:hAnsi="Lato" w:cs="Arial"/>
        </w:rPr>
        <w:t>relativa a la designación de los servidores públicos encargados de gestionar los requerimientos que se realicen a los concesionarios.</w:t>
      </w:r>
    </w:p>
    <w:p w:rsidR="00F4051D" w:rsidRPr="001D02F7" w:rsidRDefault="00F4051D" w:rsidP="00F4051D">
      <w:pPr>
        <w:spacing w:line="360" w:lineRule="auto"/>
        <w:ind w:right="-279" w:firstLine="708"/>
        <w:jc w:val="both"/>
        <w:rPr>
          <w:rFonts w:ascii="Lato" w:hAnsi="Lato" w:cs="Arial"/>
        </w:rPr>
      </w:pPr>
    </w:p>
    <w:p w:rsidR="00F4051D" w:rsidRPr="001D02F7" w:rsidRDefault="00F4051D" w:rsidP="00BD26DA">
      <w:pPr>
        <w:spacing w:line="360" w:lineRule="auto"/>
        <w:jc w:val="both"/>
        <w:rPr>
          <w:rFonts w:ascii="Lato" w:hAnsi="Lato" w:cs="Arial"/>
        </w:rPr>
      </w:pPr>
      <w:r w:rsidRPr="001D02F7">
        <w:rPr>
          <w:rFonts w:ascii="Lato" w:hAnsi="Lato" w:cs="Arial"/>
        </w:rPr>
        <w:t>A mayor abundamiento, el Acuerdo mediante el cual el Pleno del Instituto Federal de Telecomunicaciones expide los Lineamientos de Colaboración en materia de Seguridad y Justicia, y modifica el plan técnico fundamental de numeración, publicado el 21 de junio de 1996; en su parte considerativa, permite conocer las razones y acciones realizadas por el Institut</w:t>
      </w:r>
      <w:r w:rsidR="007F0B48">
        <w:rPr>
          <w:rFonts w:ascii="Lato" w:hAnsi="Lato" w:cs="Arial"/>
        </w:rPr>
        <w:t>o Federal de Telecomunicaciones</w:t>
      </w:r>
      <w:r w:rsidRPr="001D02F7">
        <w:rPr>
          <w:rFonts w:ascii="Lato" w:hAnsi="Lato" w:cs="Arial"/>
        </w:rPr>
        <w:t xml:space="preserve"> en torno al tema; destacando los considerandos tercero y quinto</w:t>
      </w:r>
      <w:r w:rsidR="007F0B48">
        <w:rPr>
          <w:rFonts w:ascii="Lato" w:hAnsi="Lato" w:cs="Arial"/>
        </w:rPr>
        <w:t xml:space="preserve"> que rezan</w:t>
      </w:r>
      <w:r w:rsidRPr="001D02F7">
        <w:rPr>
          <w:rFonts w:ascii="Lato" w:hAnsi="Lato" w:cs="Arial"/>
        </w:rPr>
        <w:t>:</w:t>
      </w:r>
    </w:p>
    <w:p w:rsidR="00F4051D" w:rsidRPr="001D02F7" w:rsidRDefault="00F4051D" w:rsidP="00F4051D">
      <w:pPr>
        <w:ind w:right="-279"/>
        <w:jc w:val="center"/>
        <w:rPr>
          <w:rFonts w:ascii="Lato" w:hAnsi="Lato" w:cs="Arial"/>
        </w:rPr>
      </w:pPr>
    </w:p>
    <w:p w:rsidR="00F4051D" w:rsidRPr="00504AF0" w:rsidRDefault="007F0B48" w:rsidP="00BD26DA">
      <w:pPr>
        <w:spacing w:line="360" w:lineRule="auto"/>
        <w:jc w:val="both"/>
        <w:rPr>
          <w:rFonts w:ascii="Lato" w:eastAsia="Times New Roman" w:hAnsi="Lato"/>
          <w:i/>
          <w:sz w:val="22"/>
          <w:szCs w:val="22"/>
        </w:rPr>
      </w:pPr>
      <w:r w:rsidRPr="007F0B48">
        <w:rPr>
          <w:rFonts w:ascii="Lato" w:eastAsia="Times New Roman" w:hAnsi="Lato"/>
          <w:bCs/>
          <w:i/>
        </w:rPr>
        <w:t>“</w:t>
      </w:r>
      <w:r w:rsidR="00F4051D" w:rsidRPr="00504AF0">
        <w:rPr>
          <w:rFonts w:ascii="Lato" w:eastAsia="Times New Roman" w:hAnsi="Lato"/>
          <w:bCs/>
          <w:i/>
          <w:sz w:val="22"/>
          <w:szCs w:val="22"/>
        </w:rPr>
        <w:t>Tercero.</w:t>
      </w:r>
      <w:r w:rsidR="00F4051D" w:rsidRPr="00504AF0">
        <w:rPr>
          <w:rFonts w:ascii="Lato" w:eastAsia="Times New Roman" w:hAnsi="Lato"/>
          <w:i/>
          <w:sz w:val="22"/>
          <w:szCs w:val="22"/>
        </w:rPr>
        <w:t xml:space="preserve"> Con fundamento en el artículo 190, fracción 1, párrafo tercero, y fracción II párrafo tercero de la LFTR,</w:t>
      </w:r>
      <w:r w:rsidR="00F4051D" w:rsidRPr="00504AF0">
        <w:rPr>
          <w:rFonts w:ascii="Lato" w:eastAsia="Times New Roman" w:hAnsi="Lato"/>
          <w:bCs/>
          <w:i/>
          <w:sz w:val="22"/>
          <w:szCs w:val="22"/>
        </w:rPr>
        <w:t xml:space="preserve"> el Instituto coordinó</w:t>
      </w:r>
      <w:r w:rsidR="00F4051D" w:rsidRPr="00504AF0">
        <w:rPr>
          <w:rFonts w:ascii="Lato" w:eastAsia="Times New Roman" w:hAnsi="Lato"/>
          <w:i/>
          <w:sz w:val="22"/>
          <w:szCs w:val="22"/>
        </w:rPr>
        <w:t xml:space="preserve"> y llevo a cabo,</w:t>
      </w:r>
      <w:r w:rsidR="00F4051D" w:rsidRPr="00504AF0">
        <w:rPr>
          <w:rFonts w:ascii="Lato" w:eastAsia="Times New Roman" w:hAnsi="Lato"/>
          <w:bCs/>
          <w:i/>
          <w:sz w:val="22"/>
          <w:szCs w:val="22"/>
        </w:rPr>
        <w:t xml:space="preserve"> de</w:t>
      </w:r>
      <w:r w:rsidR="00F4051D" w:rsidRPr="00504AF0">
        <w:rPr>
          <w:rFonts w:ascii="Lato" w:eastAsia="Times New Roman" w:hAnsi="Lato"/>
          <w:i/>
          <w:sz w:val="22"/>
          <w:szCs w:val="22"/>
        </w:rPr>
        <w:t xml:space="preserve"> manera posterior a</w:t>
      </w:r>
      <w:r w:rsidR="00F4051D" w:rsidRPr="00504AF0">
        <w:rPr>
          <w:rFonts w:ascii="Lato" w:eastAsia="Times New Roman" w:hAnsi="Lato"/>
          <w:bCs/>
          <w:i/>
          <w:sz w:val="22"/>
          <w:szCs w:val="22"/>
        </w:rPr>
        <w:t xml:space="preserve"> la</w:t>
      </w:r>
      <w:r w:rsidR="00F4051D" w:rsidRPr="00504AF0">
        <w:rPr>
          <w:rFonts w:ascii="Lato" w:eastAsia="Times New Roman" w:hAnsi="Lato"/>
          <w:i/>
          <w:sz w:val="22"/>
          <w:szCs w:val="22"/>
        </w:rPr>
        <w:t xml:space="preserve"> consulta pública,</w:t>
      </w:r>
      <w:r w:rsidR="00F4051D" w:rsidRPr="00504AF0">
        <w:rPr>
          <w:rFonts w:ascii="Lato" w:eastAsia="Times New Roman" w:hAnsi="Lato"/>
          <w:bCs/>
          <w:i/>
          <w:sz w:val="22"/>
          <w:szCs w:val="22"/>
        </w:rPr>
        <w:t xml:space="preserve"> más de 20 reuniones de trabajo con diversas autoridades de</w:t>
      </w:r>
      <w:r w:rsidR="00F4051D" w:rsidRPr="00504AF0">
        <w:rPr>
          <w:rFonts w:ascii="Lato" w:eastAsia="Times New Roman" w:hAnsi="Lato"/>
          <w:i/>
          <w:sz w:val="22"/>
          <w:szCs w:val="22"/>
        </w:rPr>
        <w:t xml:space="preserve"> seguridad</w:t>
      </w:r>
      <w:r w:rsidR="00F4051D" w:rsidRPr="00504AF0">
        <w:rPr>
          <w:rFonts w:ascii="Lato" w:eastAsia="Times New Roman" w:hAnsi="Lato"/>
          <w:bCs/>
          <w:i/>
          <w:sz w:val="22"/>
          <w:szCs w:val="22"/>
        </w:rPr>
        <w:t xml:space="preserve"> y procuración de Justicia,</w:t>
      </w:r>
      <w:r w:rsidR="00F4051D" w:rsidRPr="00504AF0">
        <w:rPr>
          <w:rFonts w:ascii="Lato" w:eastAsia="Times New Roman" w:hAnsi="Lato"/>
          <w:i/>
          <w:sz w:val="22"/>
          <w:szCs w:val="22"/>
        </w:rPr>
        <w:t xml:space="preserve"> con el objeto de escuchar sus necesidades, propuestas y mecanismo relativos a la colaboración con la justicia</w:t>
      </w:r>
      <w:r w:rsidR="00F4051D" w:rsidRPr="00504AF0">
        <w:rPr>
          <w:rFonts w:ascii="Lato" w:eastAsia="Times New Roman" w:hAnsi="Lato"/>
          <w:iCs/>
          <w:sz w:val="22"/>
          <w:szCs w:val="22"/>
        </w:rPr>
        <w:t xml:space="preserve"> a</w:t>
      </w:r>
      <w:r w:rsidR="00F4051D" w:rsidRPr="00504AF0">
        <w:rPr>
          <w:rFonts w:ascii="Lato" w:eastAsia="Times New Roman" w:hAnsi="Lato"/>
          <w:i/>
          <w:sz w:val="22"/>
          <w:szCs w:val="22"/>
        </w:rPr>
        <w:t xml:space="preserve"> que se refiere el Título Octavo de la LFTR,</w:t>
      </w:r>
      <w:r w:rsidR="00F4051D" w:rsidRPr="00504AF0">
        <w:rPr>
          <w:rFonts w:ascii="Lato" w:eastAsia="Times New Roman" w:hAnsi="Lato"/>
          <w:bCs/>
          <w:i/>
          <w:sz w:val="22"/>
          <w:szCs w:val="22"/>
        </w:rPr>
        <w:t xml:space="preserve"> entre otras, la Procuraduría </w:t>
      </w:r>
      <w:r w:rsidR="00F4051D" w:rsidRPr="00504AF0">
        <w:rPr>
          <w:rFonts w:ascii="Lato" w:eastAsia="Times New Roman" w:hAnsi="Lato"/>
          <w:i/>
          <w:sz w:val="22"/>
          <w:szCs w:val="22"/>
        </w:rPr>
        <w:t>General de la Republica, Policía Federal y Coordinación Nacional Antisecuestro, las cuales informaron sobre los mecanismos particulares para llevar a cabo l</w:t>
      </w:r>
      <w:r w:rsidRPr="00504AF0">
        <w:rPr>
          <w:rFonts w:ascii="Lato" w:eastAsia="Times New Roman" w:hAnsi="Lato"/>
          <w:i/>
          <w:sz w:val="22"/>
          <w:szCs w:val="22"/>
        </w:rPr>
        <w:t>a gestión de requerimiento de in</w:t>
      </w:r>
      <w:r w:rsidR="00F4051D" w:rsidRPr="00504AF0">
        <w:rPr>
          <w:rFonts w:ascii="Lato" w:eastAsia="Times New Roman" w:hAnsi="Lato"/>
          <w:i/>
          <w:sz w:val="22"/>
          <w:szCs w:val="22"/>
        </w:rPr>
        <w:t xml:space="preserve"> formación d</w:t>
      </w:r>
      <w:r w:rsidRPr="00504AF0">
        <w:rPr>
          <w:rFonts w:ascii="Lato" w:eastAsia="Times New Roman" w:hAnsi="Lato"/>
          <w:i/>
          <w:sz w:val="22"/>
          <w:szCs w:val="22"/>
        </w:rPr>
        <w:t>e</w:t>
      </w:r>
      <w:r w:rsidR="00F4051D" w:rsidRPr="00504AF0">
        <w:rPr>
          <w:rFonts w:ascii="Lato" w:eastAsia="Times New Roman" w:hAnsi="Lato"/>
          <w:i/>
          <w:sz w:val="22"/>
          <w:szCs w:val="22"/>
        </w:rPr>
        <w:t xml:space="preserve"> localización geográfica en tiempo real y registro de datos conservados.</w:t>
      </w:r>
    </w:p>
    <w:p w:rsidR="00F4051D" w:rsidRPr="00504AF0" w:rsidRDefault="007F0B48" w:rsidP="00504AF0">
      <w:pPr>
        <w:spacing w:line="360" w:lineRule="auto"/>
        <w:ind w:right="-279"/>
        <w:jc w:val="both"/>
        <w:rPr>
          <w:rFonts w:ascii="Lato" w:eastAsia="Times New Roman" w:hAnsi="Lato"/>
          <w:i/>
          <w:sz w:val="22"/>
          <w:szCs w:val="22"/>
        </w:rPr>
      </w:pPr>
      <w:r w:rsidRPr="00504AF0">
        <w:rPr>
          <w:rFonts w:ascii="Lato" w:eastAsia="Times New Roman" w:hAnsi="Lato"/>
          <w:i/>
          <w:sz w:val="22"/>
          <w:szCs w:val="22"/>
        </w:rPr>
        <w:t>(</w:t>
      </w:r>
      <w:r w:rsidR="00F4051D" w:rsidRPr="00504AF0">
        <w:rPr>
          <w:rFonts w:ascii="Lato" w:eastAsia="Times New Roman" w:hAnsi="Lato"/>
          <w:i/>
          <w:sz w:val="22"/>
          <w:szCs w:val="22"/>
        </w:rPr>
        <w:t>…</w:t>
      </w:r>
      <w:r w:rsidRPr="00504AF0">
        <w:rPr>
          <w:rFonts w:ascii="Lato" w:eastAsia="Times New Roman" w:hAnsi="Lato"/>
          <w:i/>
          <w:sz w:val="22"/>
          <w:szCs w:val="22"/>
        </w:rPr>
        <w:t>)</w:t>
      </w:r>
    </w:p>
    <w:p w:rsidR="00F4051D" w:rsidRPr="00504AF0" w:rsidRDefault="00F4051D" w:rsidP="00BD26DA">
      <w:pPr>
        <w:spacing w:line="360" w:lineRule="auto"/>
        <w:jc w:val="both"/>
        <w:rPr>
          <w:rFonts w:ascii="Lato" w:eastAsia="Times New Roman" w:hAnsi="Lato"/>
          <w:i/>
          <w:sz w:val="22"/>
          <w:szCs w:val="22"/>
        </w:rPr>
      </w:pPr>
      <w:r w:rsidRPr="00504AF0">
        <w:rPr>
          <w:rFonts w:ascii="Lato" w:eastAsia="Times New Roman" w:hAnsi="Lato"/>
          <w:i/>
          <w:sz w:val="22"/>
          <w:szCs w:val="22"/>
        </w:rPr>
        <w:t>Cab</w:t>
      </w:r>
      <w:r w:rsidR="00451B76">
        <w:rPr>
          <w:rFonts w:ascii="Lato" w:eastAsia="Times New Roman" w:hAnsi="Lato"/>
          <w:i/>
          <w:sz w:val="22"/>
          <w:szCs w:val="22"/>
        </w:rPr>
        <w:t>e</w:t>
      </w:r>
      <w:r w:rsidRPr="00504AF0">
        <w:rPr>
          <w:rFonts w:ascii="Lato" w:eastAsia="Times New Roman" w:hAnsi="Lato"/>
          <w:i/>
          <w:sz w:val="22"/>
          <w:szCs w:val="22"/>
        </w:rPr>
        <w:t xml:space="preserve"> resaltar que durante la XXXIII</w:t>
      </w:r>
      <w:r w:rsidRPr="00504AF0">
        <w:rPr>
          <w:rFonts w:ascii="Lato" w:eastAsia="Times New Roman" w:hAnsi="Lato"/>
          <w:bCs/>
          <w:i/>
          <w:sz w:val="22"/>
          <w:szCs w:val="22"/>
        </w:rPr>
        <w:t xml:space="preserve"> Asamblea </w:t>
      </w:r>
      <w:r w:rsidRPr="00504AF0">
        <w:rPr>
          <w:rFonts w:ascii="Lato" w:eastAsia="Times New Roman" w:hAnsi="Lato"/>
          <w:i/>
          <w:sz w:val="22"/>
          <w:szCs w:val="22"/>
        </w:rPr>
        <w:t>Plenaria de la Conferencia Nacional</w:t>
      </w:r>
      <w:r w:rsidRPr="00504AF0">
        <w:rPr>
          <w:rFonts w:ascii="Lato" w:eastAsia="Times New Roman" w:hAnsi="Lato"/>
          <w:bCs/>
          <w:i/>
          <w:sz w:val="22"/>
          <w:szCs w:val="22"/>
        </w:rPr>
        <w:t xml:space="preserve"> de</w:t>
      </w:r>
      <w:r w:rsidRPr="00504AF0">
        <w:rPr>
          <w:rFonts w:ascii="Lato" w:eastAsia="Times New Roman" w:hAnsi="Lato"/>
          <w:i/>
          <w:sz w:val="22"/>
          <w:szCs w:val="22"/>
        </w:rPr>
        <w:t xml:space="preserve"> Procuración</w:t>
      </w:r>
      <w:r w:rsidRPr="00504AF0">
        <w:rPr>
          <w:rFonts w:ascii="Lato" w:eastAsia="Times New Roman" w:hAnsi="Lato"/>
          <w:bCs/>
          <w:i/>
          <w:sz w:val="22"/>
          <w:szCs w:val="22"/>
        </w:rPr>
        <w:t xml:space="preserve"> de</w:t>
      </w:r>
      <w:r w:rsidRPr="00504AF0">
        <w:rPr>
          <w:rFonts w:ascii="Lato" w:eastAsia="Times New Roman" w:hAnsi="Lato"/>
          <w:i/>
          <w:sz w:val="22"/>
          <w:szCs w:val="22"/>
        </w:rPr>
        <w:t xml:space="preserve"> Justicia celebrada</w:t>
      </w:r>
      <w:r w:rsidRPr="00504AF0">
        <w:rPr>
          <w:rFonts w:ascii="Lato" w:eastAsia="Times New Roman" w:hAnsi="Lato"/>
          <w:bCs/>
          <w:i/>
          <w:sz w:val="22"/>
          <w:szCs w:val="22"/>
        </w:rPr>
        <w:t xml:space="preserve"> en el</w:t>
      </w:r>
      <w:r w:rsidRPr="00504AF0">
        <w:rPr>
          <w:rFonts w:ascii="Lato" w:eastAsia="Times New Roman" w:hAnsi="Lato"/>
          <w:i/>
          <w:sz w:val="22"/>
          <w:szCs w:val="22"/>
        </w:rPr>
        <w:t xml:space="preserve"> mes de agosto de 2015, en la Ciudad de México se acordó la aprobación de los “Lineamientos de Colaboración en Materia de Seguridad y Justicia¨</w:t>
      </w:r>
      <w:r w:rsidR="004779F3" w:rsidRPr="00504AF0">
        <w:rPr>
          <w:rFonts w:ascii="Lato" w:eastAsia="Times New Roman" w:hAnsi="Lato"/>
          <w:i/>
          <w:sz w:val="22"/>
          <w:szCs w:val="22"/>
        </w:rPr>
        <w:t xml:space="preserve"> </w:t>
      </w:r>
      <w:r w:rsidRPr="00504AF0">
        <w:rPr>
          <w:rFonts w:ascii="Lato" w:eastAsia="Times New Roman" w:hAnsi="Lato"/>
          <w:i/>
          <w:sz w:val="22"/>
          <w:szCs w:val="22"/>
        </w:rPr>
        <w:t>entre los Procuradores y Fiscales del país con el instituto, a fin de gestionar y realizar el intercambio de información derivada de los requerimientos de información y localización geográfica y entrega de datos conservados con los concesionarios, y en su caso, Autorizados.</w:t>
      </w:r>
    </w:p>
    <w:p w:rsidR="00F4051D" w:rsidRPr="00504AF0" w:rsidRDefault="007F0B48" w:rsidP="00504AF0">
      <w:pPr>
        <w:spacing w:line="360" w:lineRule="auto"/>
        <w:ind w:right="-279"/>
        <w:jc w:val="both"/>
        <w:rPr>
          <w:rFonts w:ascii="Lato" w:eastAsia="Times New Roman" w:hAnsi="Lato"/>
          <w:i/>
          <w:sz w:val="22"/>
          <w:szCs w:val="22"/>
        </w:rPr>
      </w:pPr>
      <w:r w:rsidRPr="00504AF0">
        <w:rPr>
          <w:rFonts w:ascii="Lato" w:eastAsia="Times New Roman" w:hAnsi="Lato"/>
          <w:i/>
          <w:sz w:val="22"/>
          <w:szCs w:val="22"/>
        </w:rPr>
        <w:t>(</w:t>
      </w:r>
      <w:r w:rsidR="00F4051D" w:rsidRPr="00504AF0">
        <w:rPr>
          <w:rFonts w:ascii="Lato" w:eastAsia="Times New Roman" w:hAnsi="Lato"/>
          <w:i/>
          <w:sz w:val="22"/>
          <w:szCs w:val="22"/>
        </w:rPr>
        <w:t>…</w:t>
      </w:r>
      <w:r w:rsidRPr="00504AF0">
        <w:rPr>
          <w:rFonts w:ascii="Lato" w:eastAsia="Times New Roman" w:hAnsi="Lato"/>
          <w:i/>
          <w:sz w:val="22"/>
          <w:szCs w:val="22"/>
        </w:rPr>
        <w:t>)</w:t>
      </w:r>
      <w:r w:rsidR="00F4051D" w:rsidRPr="00504AF0">
        <w:rPr>
          <w:rFonts w:ascii="Lato" w:eastAsia="Times New Roman" w:hAnsi="Lato"/>
          <w:i/>
          <w:sz w:val="22"/>
          <w:szCs w:val="22"/>
        </w:rPr>
        <w:t xml:space="preserve"> </w:t>
      </w:r>
    </w:p>
    <w:p w:rsidR="00F4051D" w:rsidRPr="00504AF0" w:rsidRDefault="00F4051D" w:rsidP="00504AF0">
      <w:pPr>
        <w:spacing w:line="360" w:lineRule="auto"/>
        <w:ind w:right="-279"/>
        <w:jc w:val="both"/>
        <w:rPr>
          <w:rFonts w:ascii="Lato" w:eastAsia="Times New Roman" w:hAnsi="Lato"/>
          <w:i/>
          <w:sz w:val="22"/>
          <w:szCs w:val="22"/>
        </w:rPr>
      </w:pPr>
      <w:r w:rsidRPr="00504AF0">
        <w:rPr>
          <w:rFonts w:ascii="Lato" w:eastAsia="Times New Roman" w:hAnsi="Lato"/>
          <w:i/>
          <w:sz w:val="22"/>
          <w:szCs w:val="22"/>
        </w:rPr>
        <w:t>Quinto</w:t>
      </w:r>
      <w:r w:rsidR="00492529" w:rsidRPr="00504AF0">
        <w:rPr>
          <w:rFonts w:ascii="Lato" w:eastAsia="Times New Roman" w:hAnsi="Lato"/>
          <w:i/>
          <w:sz w:val="22"/>
          <w:szCs w:val="22"/>
        </w:rPr>
        <w:t>. (…)</w:t>
      </w:r>
      <w:r w:rsidRPr="00504AF0">
        <w:rPr>
          <w:rFonts w:ascii="Lato" w:eastAsia="Times New Roman" w:hAnsi="Lato"/>
          <w:i/>
          <w:sz w:val="22"/>
          <w:szCs w:val="22"/>
        </w:rPr>
        <w:t xml:space="preserve"> </w:t>
      </w:r>
    </w:p>
    <w:p w:rsidR="00F4051D" w:rsidRPr="00504AF0" w:rsidRDefault="00F4051D" w:rsidP="00504AF0">
      <w:pPr>
        <w:spacing w:line="360" w:lineRule="auto"/>
        <w:ind w:right="-279"/>
        <w:jc w:val="both"/>
        <w:rPr>
          <w:rFonts w:ascii="Lato" w:eastAsia="Times New Roman" w:hAnsi="Lato"/>
          <w:i/>
          <w:sz w:val="22"/>
          <w:szCs w:val="22"/>
        </w:rPr>
      </w:pPr>
      <w:r w:rsidRPr="00504AF0">
        <w:rPr>
          <w:rFonts w:ascii="Lato" w:eastAsia="Times New Roman" w:hAnsi="Lato"/>
          <w:i/>
          <w:sz w:val="22"/>
          <w:szCs w:val="22"/>
        </w:rPr>
        <w:t xml:space="preserve">1.- De los requerimientos de información en materia de seguridad y justicia </w:t>
      </w:r>
    </w:p>
    <w:p w:rsidR="00F4051D" w:rsidRPr="00504AF0" w:rsidRDefault="00F4051D" w:rsidP="00BD26DA">
      <w:pPr>
        <w:spacing w:line="360" w:lineRule="auto"/>
        <w:jc w:val="both"/>
        <w:rPr>
          <w:rFonts w:ascii="Lato" w:eastAsia="Times New Roman" w:hAnsi="Lato"/>
          <w:i/>
          <w:sz w:val="22"/>
          <w:szCs w:val="22"/>
        </w:rPr>
      </w:pPr>
      <w:r w:rsidRPr="00504AF0">
        <w:rPr>
          <w:rFonts w:ascii="Lato" w:eastAsia="Times New Roman" w:hAnsi="Lato"/>
          <w:i/>
          <w:sz w:val="22"/>
          <w:szCs w:val="22"/>
        </w:rPr>
        <w:t>Conforme al párrafo tercero de la fracción II del artículo 190 de</w:t>
      </w:r>
      <w:r w:rsidR="004779F3" w:rsidRPr="00504AF0">
        <w:rPr>
          <w:rFonts w:ascii="Lato" w:eastAsia="Times New Roman" w:hAnsi="Lato"/>
          <w:i/>
          <w:sz w:val="22"/>
          <w:szCs w:val="22"/>
        </w:rPr>
        <w:t xml:space="preserve"> </w:t>
      </w:r>
      <w:r w:rsidRPr="00504AF0">
        <w:rPr>
          <w:rFonts w:ascii="Lato" w:eastAsia="Times New Roman" w:hAnsi="Lato"/>
          <w:i/>
          <w:sz w:val="22"/>
          <w:szCs w:val="22"/>
        </w:rPr>
        <w:t xml:space="preserve">la </w:t>
      </w:r>
      <w:proofErr w:type="spellStart"/>
      <w:r w:rsidRPr="00504AF0">
        <w:rPr>
          <w:rFonts w:ascii="Lato" w:eastAsia="Times New Roman" w:hAnsi="Lato"/>
          <w:i/>
          <w:sz w:val="22"/>
          <w:szCs w:val="22"/>
        </w:rPr>
        <w:t>LFTR</w:t>
      </w:r>
      <w:proofErr w:type="spellEnd"/>
      <w:r w:rsidRPr="00504AF0">
        <w:rPr>
          <w:rFonts w:ascii="Lato" w:eastAsia="Times New Roman" w:hAnsi="Lato"/>
          <w:i/>
          <w:sz w:val="22"/>
          <w:szCs w:val="22"/>
        </w:rPr>
        <w:t>, la solicitud y entrega en tiempo real de los datos referidos en dicho apartado, "se realizará mediante los mecanismos que determinen las autoridades a que se refiere el artículo 189 de esta Ley, los cuales deberán informarse al Instituto para los efectos de lo dispuesto en el párrafo tercero, fracción 1 del presente artículo."</w:t>
      </w:r>
    </w:p>
    <w:p w:rsidR="00F4051D" w:rsidRPr="00492529" w:rsidRDefault="00F4051D" w:rsidP="00BD26DA">
      <w:pPr>
        <w:spacing w:line="360" w:lineRule="auto"/>
        <w:jc w:val="both"/>
        <w:rPr>
          <w:rFonts w:ascii="Lato" w:eastAsia="Times New Roman" w:hAnsi="Lato"/>
          <w:i/>
        </w:rPr>
      </w:pPr>
      <w:r w:rsidRPr="00504AF0">
        <w:rPr>
          <w:rFonts w:ascii="Lato" w:eastAsia="Times New Roman" w:hAnsi="Lato"/>
          <w:i/>
          <w:sz w:val="22"/>
          <w:szCs w:val="22"/>
        </w:rPr>
        <w:lastRenderedPageBreak/>
        <w:t>Para coadyuvar con lo anterior y con fundamento en el artículo 190, fracción I, párrafo tercero, y fracción II, párrafo tercero de la LFTR,</w:t>
      </w:r>
      <w:r w:rsidRPr="00504AF0">
        <w:rPr>
          <w:rFonts w:ascii="Lato" w:eastAsia="Times New Roman" w:hAnsi="Lato"/>
          <w:bCs/>
          <w:i/>
          <w:sz w:val="22"/>
          <w:szCs w:val="22"/>
        </w:rPr>
        <w:t xml:space="preserve"> el Instituto sostuvo </w:t>
      </w:r>
      <w:r w:rsidRPr="00504AF0">
        <w:rPr>
          <w:rFonts w:ascii="Lato" w:eastAsia="Times New Roman" w:hAnsi="Lato"/>
          <w:i/>
          <w:sz w:val="22"/>
          <w:szCs w:val="22"/>
        </w:rPr>
        <w:t xml:space="preserve">reuniones de trabajo con diversas autoridades tales corno Procuraduría General de la </w:t>
      </w:r>
      <w:r w:rsidR="00451B76" w:rsidRPr="00504AF0">
        <w:rPr>
          <w:rFonts w:ascii="Lato" w:eastAsia="Times New Roman" w:hAnsi="Lato"/>
          <w:i/>
          <w:sz w:val="22"/>
          <w:szCs w:val="22"/>
        </w:rPr>
        <w:t>República</w:t>
      </w:r>
      <w:r w:rsidRPr="00504AF0">
        <w:rPr>
          <w:rFonts w:ascii="Lato" w:eastAsia="Times New Roman" w:hAnsi="Lato"/>
          <w:i/>
          <w:sz w:val="22"/>
          <w:szCs w:val="22"/>
        </w:rPr>
        <w:t>, Policía Federal, Centro de Investigación y Seguridad Nacional, Coordinación Nacional Antisecuestro, Conferencia Nacional de Procuraduría de Justicia, Conferencia Nacional del Sistema Penitenciario, Comisión Nacional de Seguridad, Secretaría</w:t>
      </w:r>
      <w:r w:rsidRPr="00504AF0">
        <w:rPr>
          <w:rFonts w:ascii="Lato" w:eastAsia="Times New Roman" w:hAnsi="Lato"/>
          <w:bCs/>
          <w:i/>
          <w:sz w:val="22"/>
          <w:szCs w:val="22"/>
        </w:rPr>
        <w:t xml:space="preserve"> de</w:t>
      </w:r>
      <w:r w:rsidRPr="00504AF0">
        <w:rPr>
          <w:rFonts w:ascii="Lato" w:eastAsia="Times New Roman" w:hAnsi="Lato"/>
          <w:i/>
          <w:sz w:val="22"/>
          <w:szCs w:val="22"/>
        </w:rPr>
        <w:t xml:space="preserve"> la Defensa Nacional y Secretaría de Marina,</w:t>
      </w:r>
      <w:r w:rsidRPr="00504AF0">
        <w:rPr>
          <w:rFonts w:ascii="Lato" w:eastAsia="Times New Roman" w:hAnsi="Lato"/>
          <w:bCs/>
          <w:i/>
          <w:sz w:val="22"/>
          <w:szCs w:val="22"/>
        </w:rPr>
        <w:t xml:space="preserve"> con el objetivo de escuchar sus necesidades</w:t>
      </w:r>
      <w:r w:rsidRPr="00504AF0">
        <w:rPr>
          <w:rFonts w:ascii="Lato" w:eastAsia="Times New Roman" w:hAnsi="Lato"/>
          <w:i/>
          <w:sz w:val="22"/>
          <w:szCs w:val="22"/>
        </w:rPr>
        <w:t xml:space="preserve"> y</w:t>
      </w:r>
      <w:r w:rsidRPr="00504AF0">
        <w:rPr>
          <w:rFonts w:ascii="Lato" w:eastAsia="Times New Roman" w:hAnsi="Lato"/>
          <w:bCs/>
          <w:i/>
          <w:sz w:val="22"/>
          <w:szCs w:val="22"/>
        </w:rPr>
        <w:t xml:space="preserve"> recibir sus propuestas que podrían contribuir en la definición de los mecanismo mediante los cuales los Concesionarios y, en su caso, los Autorizados deberán atender los requerimientos que estas le formulen, relativos a</w:t>
      </w:r>
      <w:r w:rsidRPr="00504AF0">
        <w:rPr>
          <w:rFonts w:ascii="Lato" w:eastAsia="Times New Roman" w:hAnsi="Lato"/>
          <w:i/>
          <w:sz w:val="22"/>
          <w:szCs w:val="22"/>
        </w:rPr>
        <w:t xml:space="preserve"> la</w:t>
      </w:r>
      <w:r w:rsidRPr="00504AF0">
        <w:rPr>
          <w:rFonts w:ascii="Lato" w:eastAsia="Times New Roman" w:hAnsi="Lato"/>
          <w:bCs/>
          <w:i/>
          <w:sz w:val="22"/>
          <w:szCs w:val="22"/>
        </w:rPr>
        <w:t xml:space="preserve"> colaboración con</w:t>
      </w:r>
      <w:r w:rsidRPr="00504AF0">
        <w:rPr>
          <w:rFonts w:ascii="Lato" w:eastAsia="Times New Roman" w:hAnsi="Lato"/>
          <w:i/>
          <w:sz w:val="22"/>
          <w:szCs w:val="22"/>
        </w:rPr>
        <w:t xml:space="preserve"> la</w:t>
      </w:r>
      <w:r w:rsidRPr="00504AF0">
        <w:rPr>
          <w:rFonts w:ascii="Lato" w:eastAsia="Times New Roman" w:hAnsi="Lato"/>
          <w:bCs/>
          <w:i/>
          <w:sz w:val="22"/>
          <w:szCs w:val="22"/>
        </w:rPr>
        <w:t xml:space="preserve"> justicia</w:t>
      </w:r>
      <w:r w:rsidRPr="00504AF0">
        <w:rPr>
          <w:rFonts w:ascii="Lato" w:eastAsia="Times New Roman" w:hAnsi="Lato"/>
          <w:i/>
          <w:sz w:val="22"/>
          <w:szCs w:val="22"/>
        </w:rPr>
        <w:t xml:space="preserve"> a </w:t>
      </w:r>
      <w:r w:rsidRPr="00504AF0">
        <w:rPr>
          <w:rFonts w:ascii="Lato" w:eastAsia="Times New Roman" w:hAnsi="Lato"/>
          <w:bCs/>
          <w:i/>
          <w:sz w:val="22"/>
          <w:szCs w:val="22"/>
        </w:rPr>
        <w:t>que se refiere el T</w:t>
      </w:r>
      <w:r w:rsidR="00492529" w:rsidRPr="00504AF0">
        <w:rPr>
          <w:rFonts w:ascii="Lato" w:eastAsia="Times New Roman" w:hAnsi="Lato"/>
          <w:bCs/>
          <w:i/>
          <w:sz w:val="22"/>
          <w:szCs w:val="22"/>
        </w:rPr>
        <w:t>í</w:t>
      </w:r>
      <w:r w:rsidRPr="00504AF0">
        <w:rPr>
          <w:rFonts w:ascii="Lato" w:eastAsia="Times New Roman" w:hAnsi="Lato"/>
          <w:bCs/>
          <w:i/>
          <w:sz w:val="22"/>
          <w:szCs w:val="22"/>
        </w:rPr>
        <w:t>tulo Octavo de</w:t>
      </w:r>
      <w:r w:rsidR="00504AF0" w:rsidRPr="00504AF0">
        <w:rPr>
          <w:rFonts w:ascii="Lato" w:eastAsia="Times New Roman" w:hAnsi="Lato"/>
          <w:i/>
          <w:sz w:val="22"/>
          <w:szCs w:val="22"/>
        </w:rPr>
        <w:t xml:space="preserve"> la </w:t>
      </w:r>
      <w:proofErr w:type="spellStart"/>
      <w:r w:rsidR="00504AF0" w:rsidRPr="00504AF0">
        <w:rPr>
          <w:rFonts w:ascii="Lato" w:eastAsia="Times New Roman" w:hAnsi="Lato"/>
          <w:i/>
          <w:sz w:val="22"/>
          <w:szCs w:val="22"/>
        </w:rPr>
        <w:t>LFTR</w:t>
      </w:r>
      <w:proofErr w:type="spellEnd"/>
      <w:r w:rsidR="00504AF0">
        <w:rPr>
          <w:rFonts w:ascii="Lato" w:eastAsia="Times New Roman" w:hAnsi="Lato"/>
          <w:i/>
        </w:rPr>
        <w:t>”.</w:t>
      </w:r>
    </w:p>
    <w:p w:rsidR="00F4051D" w:rsidRPr="001D02F7" w:rsidRDefault="00F4051D" w:rsidP="00F4051D">
      <w:pPr>
        <w:pStyle w:val="Cuerpodeltexto20"/>
        <w:shd w:val="clear" w:color="auto" w:fill="auto"/>
        <w:spacing w:line="240" w:lineRule="auto"/>
        <w:ind w:left="1134" w:right="855"/>
        <w:jc w:val="both"/>
        <w:rPr>
          <w:rFonts w:ascii="Lato" w:eastAsia="Times New Roman" w:hAnsi="Lato"/>
          <w:b/>
          <w:i/>
          <w:sz w:val="24"/>
          <w:szCs w:val="24"/>
          <w:lang w:val="es-MX"/>
        </w:rPr>
      </w:pPr>
    </w:p>
    <w:p w:rsidR="00F4051D" w:rsidRPr="001D02F7" w:rsidRDefault="00F4051D" w:rsidP="00F4051D">
      <w:pPr>
        <w:pStyle w:val="Cuerpodeltexto20"/>
        <w:shd w:val="clear" w:color="auto" w:fill="auto"/>
        <w:spacing w:line="216" w:lineRule="exact"/>
        <w:ind w:left="1134" w:right="855"/>
        <w:jc w:val="both"/>
        <w:rPr>
          <w:rFonts w:ascii="Lato" w:eastAsia="Times New Roman" w:hAnsi="Lato"/>
          <w:b/>
          <w:i/>
          <w:sz w:val="24"/>
          <w:szCs w:val="24"/>
          <w:lang w:val="es-MX"/>
        </w:rPr>
      </w:pPr>
    </w:p>
    <w:p w:rsidR="00F4051D" w:rsidRPr="001D02F7" w:rsidRDefault="00492529" w:rsidP="00BD26DA">
      <w:pPr>
        <w:spacing w:line="360" w:lineRule="auto"/>
        <w:jc w:val="both"/>
        <w:rPr>
          <w:rFonts w:ascii="Lato" w:hAnsi="Lato" w:cs="Arial"/>
        </w:rPr>
      </w:pPr>
      <w:r>
        <w:rPr>
          <w:rFonts w:ascii="Lato" w:hAnsi="Lato" w:cs="Arial"/>
        </w:rPr>
        <w:t>Com</w:t>
      </w:r>
      <w:r w:rsidR="00F4051D" w:rsidRPr="001D02F7">
        <w:rPr>
          <w:rFonts w:ascii="Lato" w:hAnsi="Lato" w:cs="Arial"/>
        </w:rPr>
        <w:t>o puede advertirse de los considerandos en mención, el Instituto Federal de Telecomunicaciones, con el fin de conocer las necesidades y propuestas en to</w:t>
      </w:r>
      <w:r w:rsidR="00451B76">
        <w:rPr>
          <w:rFonts w:ascii="Lato" w:hAnsi="Lato" w:cs="Arial"/>
        </w:rPr>
        <w:t>rn</w:t>
      </w:r>
      <w:r w:rsidR="00F4051D" w:rsidRPr="001D02F7">
        <w:rPr>
          <w:rFonts w:ascii="Lato" w:hAnsi="Lato" w:cs="Arial"/>
        </w:rPr>
        <w:t>o al tema de col</w:t>
      </w:r>
      <w:r w:rsidR="00451B76">
        <w:rPr>
          <w:rFonts w:ascii="Lato" w:hAnsi="Lato" w:cs="Arial"/>
        </w:rPr>
        <w:t>aboración con la justicia, llevó</w:t>
      </w:r>
      <w:r w:rsidR="00F4051D" w:rsidRPr="001D02F7">
        <w:rPr>
          <w:rFonts w:ascii="Lato" w:hAnsi="Lato" w:cs="Arial"/>
        </w:rPr>
        <w:t xml:space="preserve"> a cabo diversas reuniones de trabajo con distintas autoridades de seguridad y procuración de justicia; no obstante, en tales reuniones no hubo intervención de órganos jurisdiccionales, tal</w:t>
      </w:r>
      <w:r w:rsidR="004779F3">
        <w:rPr>
          <w:rFonts w:ascii="Lato" w:hAnsi="Lato" w:cs="Arial"/>
        </w:rPr>
        <w:t xml:space="preserve"> </w:t>
      </w:r>
      <w:r w:rsidR="00F4051D" w:rsidRPr="001D02F7">
        <w:rPr>
          <w:rFonts w:ascii="Lato" w:hAnsi="Lato" w:cs="Arial"/>
        </w:rPr>
        <w:t>y como se desprende del listado inmerso en los considerandos que se relatan.</w:t>
      </w:r>
    </w:p>
    <w:p w:rsidR="00F4051D" w:rsidRPr="001D02F7" w:rsidRDefault="00F4051D" w:rsidP="00F4051D">
      <w:pPr>
        <w:spacing w:line="360" w:lineRule="auto"/>
        <w:ind w:right="-279" w:firstLine="708"/>
        <w:jc w:val="both"/>
        <w:rPr>
          <w:rFonts w:ascii="Lato" w:hAnsi="Lato"/>
          <w:i/>
          <w:iCs/>
        </w:rPr>
      </w:pPr>
    </w:p>
    <w:p w:rsidR="00F4051D" w:rsidRDefault="00F4051D" w:rsidP="00BD26DA">
      <w:pPr>
        <w:spacing w:line="360" w:lineRule="auto"/>
        <w:jc w:val="both"/>
        <w:rPr>
          <w:rFonts w:ascii="Lato" w:hAnsi="Lato" w:cs="Arial"/>
        </w:rPr>
      </w:pPr>
      <w:r w:rsidRPr="001D02F7">
        <w:rPr>
          <w:rFonts w:ascii="Lato" w:hAnsi="Lato" w:cs="Arial"/>
        </w:rPr>
        <w:t xml:space="preserve">De lo que se concluye que la información solicitada por el particular consistente en: </w:t>
      </w:r>
      <w:r w:rsidRPr="001D02F7">
        <w:rPr>
          <w:rFonts w:ascii="Lato" w:hAnsi="Lato" w:cs="Arial"/>
          <w:i/>
        </w:rPr>
        <w:t>“</w:t>
      </w:r>
      <w:r w:rsidRPr="00504AF0">
        <w:rPr>
          <w:rFonts w:ascii="Lato" w:hAnsi="Lato" w:cs="Arial"/>
          <w:i/>
          <w:sz w:val="22"/>
          <w:szCs w:val="22"/>
        </w:rPr>
        <w:t>Copia de los acuerdos publicados en el DOF para designar a los Servidores Públicos del Tribunal Superior de Justicia del Estado de Baja California encargados de gestionar los requerimientos que se realicen a los Concesionarios y Autorizados de telecomunicaciones para recibir la información en materia de seguridad y justicia, como lo detallan el considerando Segundo y el lineamiento Cuarto de los Lineamientos de Colaboración en Materia de Seguridad y Justicia</w:t>
      </w:r>
      <w:r w:rsidRPr="001D02F7">
        <w:rPr>
          <w:rFonts w:ascii="Lato" w:hAnsi="Lato" w:cs="Arial"/>
          <w:i/>
        </w:rPr>
        <w:t>"</w:t>
      </w:r>
      <w:r w:rsidRPr="001D02F7">
        <w:rPr>
          <w:rFonts w:ascii="Lato" w:hAnsi="Lato"/>
          <w:b/>
          <w:iCs/>
        </w:rPr>
        <w:t xml:space="preserve">, </w:t>
      </w:r>
      <w:r w:rsidRPr="00492529">
        <w:rPr>
          <w:rFonts w:ascii="Lato" w:hAnsi="Lato" w:cs="Arial"/>
          <w:b/>
        </w:rPr>
        <w:t xml:space="preserve">es información que </w:t>
      </w:r>
      <w:r w:rsidR="00492529" w:rsidRPr="00492529">
        <w:rPr>
          <w:rFonts w:ascii="Lato" w:hAnsi="Lato" w:cs="Arial"/>
          <w:b/>
        </w:rPr>
        <w:t>no</w:t>
      </w:r>
      <w:r w:rsidRPr="00492529">
        <w:rPr>
          <w:rFonts w:ascii="Lato" w:hAnsi="Lato" w:cs="Arial"/>
          <w:b/>
        </w:rPr>
        <w:t xml:space="preserve"> es generada, poseída o administrada por el Poder Judicial del Estado de Baja California, de acuerdo a sus facultades, competencias y funciones</w:t>
      </w:r>
      <w:r w:rsidRPr="001D02F7">
        <w:rPr>
          <w:rFonts w:ascii="Lato" w:hAnsi="Lato" w:cs="Arial"/>
        </w:rPr>
        <w:t>.</w:t>
      </w:r>
    </w:p>
    <w:p w:rsidR="00BD26DA" w:rsidRPr="001D02F7" w:rsidRDefault="00BD26DA" w:rsidP="00BD26DA">
      <w:pPr>
        <w:spacing w:line="360" w:lineRule="auto"/>
        <w:jc w:val="both"/>
        <w:rPr>
          <w:rFonts w:ascii="Lato" w:hAnsi="Lato" w:cs="Arial"/>
        </w:rPr>
      </w:pPr>
    </w:p>
    <w:p w:rsidR="00AF1408" w:rsidRDefault="00492529" w:rsidP="00BD26DA">
      <w:pPr>
        <w:spacing w:line="360" w:lineRule="auto"/>
        <w:jc w:val="both"/>
        <w:rPr>
          <w:rFonts w:ascii="Lato" w:hAnsi="Lato" w:cs="Arial"/>
        </w:rPr>
      </w:pPr>
      <w:r w:rsidRPr="00492529">
        <w:rPr>
          <w:rFonts w:ascii="Lato" w:hAnsi="Lato" w:cs="Arial"/>
          <w:b/>
        </w:rPr>
        <w:t>TERCERO. DEL ACUERDO DEL COMITÉ MEDIANTE EL CUAL SE DECLARA LA INCOMPETENCIA</w:t>
      </w:r>
      <w:r>
        <w:rPr>
          <w:rFonts w:ascii="Lato" w:hAnsi="Lato" w:cs="Arial"/>
        </w:rPr>
        <w:t xml:space="preserve">. </w:t>
      </w:r>
      <w:r w:rsidR="00F4051D" w:rsidRPr="001D02F7">
        <w:rPr>
          <w:rFonts w:ascii="Lato" w:hAnsi="Lato" w:cs="Arial"/>
        </w:rPr>
        <w:t>Por lo expuesto</w:t>
      </w:r>
      <w:r>
        <w:rPr>
          <w:rFonts w:ascii="Lato" w:hAnsi="Lato" w:cs="Arial"/>
        </w:rPr>
        <w:t xml:space="preserve"> y fundado y atento a la competencia de este Comité otorgada </w:t>
      </w:r>
      <w:r w:rsidR="00F4051D" w:rsidRPr="001D02F7">
        <w:rPr>
          <w:rFonts w:ascii="Lato" w:hAnsi="Lato" w:cs="Arial"/>
        </w:rPr>
        <w:t xml:space="preserve">en las fracciones I y II del artículo 54 de la Ley de Transparencia y Acceso a la Información Pública para el Estado de Baja California; 11 y 13 fracción XIII, del Reglamento para la Transparencia y el Acceso a la Información Pública del Poder Judicial </w:t>
      </w:r>
      <w:r w:rsidR="00F4051D" w:rsidRPr="001D02F7">
        <w:rPr>
          <w:rFonts w:ascii="Lato" w:hAnsi="Lato" w:cs="Arial"/>
        </w:rPr>
        <w:lastRenderedPageBreak/>
        <w:t>del Estado de Baja California</w:t>
      </w:r>
      <w:r w:rsidR="00632522">
        <w:rPr>
          <w:rFonts w:ascii="Lato" w:hAnsi="Lato" w:cs="Arial"/>
        </w:rPr>
        <w:t>, el Presidente del Comité somete a los integrantes del mismo a votación el proyecto presentado</w:t>
      </w:r>
      <w:r w:rsidR="00F4051D" w:rsidRPr="001D02F7">
        <w:rPr>
          <w:rFonts w:ascii="Lato" w:hAnsi="Lato" w:cs="Arial"/>
        </w:rPr>
        <w:t>,</w:t>
      </w:r>
      <w:r w:rsidR="00632522">
        <w:rPr>
          <w:rFonts w:ascii="Lato" w:hAnsi="Lato" w:cs="Arial"/>
        </w:rPr>
        <w:t xml:space="preserve"> y hecho lo anterior, </w:t>
      </w:r>
      <w:r w:rsidRPr="00492529">
        <w:rPr>
          <w:rFonts w:ascii="Lato" w:hAnsi="Lato" w:cs="Arial"/>
          <w:b/>
        </w:rPr>
        <w:t>se ACUERDA</w:t>
      </w:r>
      <w:r>
        <w:rPr>
          <w:rFonts w:ascii="Lato" w:hAnsi="Lato" w:cs="Arial"/>
        </w:rPr>
        <w:t xml:space="preserve">: </w:t>
      </w:r>
      <w:r w:rsidR="00AA4FE3">
        <w:rPr>
          <w:rFonts w:ascii="Lato" w:hAnsi="Lato" w:cs="Arial"/>
        </w:rPr>
        <w:t xml:space="preserve">Se aprueba por unanimidad de votos </w:t>
      </w:r>
      <w:r w:rsidR="00AA4FE3" w:rsidRPr="001F7478">
        <w:rPr>
          <w:rFonts w:ascii="Lato" w:hAnsi="Lato" w:cs="Arial"/>
          <w:b/>
        </w:rPr>
        <w:t>el proyecto presentado por sus propios y legales fundamentos</w:t>
      </w:r>
      <w:r w:rsidR="00AA4FE3" w:rsidRPr="00AA4FE3">
        <w:rPr>
          <w:rFonts w:ascii="Lato" w:hAnsi="Lato" w:cs="Arial"/>
          <w:b/>
        </w:rPr>
        <w:t xml:space="preserve">, </w:t>
      </w:r>
      <w:r w:rsidR="008F4516" w:rsidRPr="008F4516">
        <w:rPr>
          <w:rFonts w:ascii="Lato" w:hAnsi="Lato" w:cs="Arial"/>
        </w:rPr>
        <w:t>por lo que éste</w:t>
      </w:r>
      <w:r w:rsidR="008F4516" w:rsidRPr="001D02F7">
        <w:rPr>
          <w:rFonts w:ascii="Lato" w:hAnsi="Lato" w:cs="Arial"/>
        </w:rPr>
        <w:t xml:space="preserve"> Comité </w:t>
      </w:r>
      <w:r w:rsidR="008F4516" w:rsidRPr="001D02F7">
        <w:rPr>
          <w:rFonts w:ascii="Lato" w:hAnsi="Lato" w:cs="Arial"/>
          <w:b/>
        </w:rPr>
        <w:t xml:space="preserve">declara al H. Poder Judicial del Estado de Baja California, </w:t>
      </w:r>
      <w:r w:rsidR="008F4516">
        <w:rPr>
          <w:rFonts w:ascii="Lato" w:hAnsi="Lato" w:cs="Arial"/>
          <w:b/>
        </w:rPr>
        <w:t>incompetente</w:t>
      </w:r>
      <w:r w:rsidR="008F4516" w:rsidRPr="001D02F7">
        <w:rPr>
          <w:rFonts w:ascii="Lato" w:hAnsi="Lato" w:cs="Arial"/>
          <w:b/>
        </w:rPr>
        <w:t xml:space="preserve"> </w:t>
      </w:r>
      <w:r w:rsidR="008F4516" w:rsidRPr="00632522">
        <w:rPr>
          <w:rFonts w:ascii="Lato" w:hAnsi="Lato" w:cs="Arial"/>
          <w:b/>
        </w:rPr>
        <w:t>para poseer o administrar la información solicitada, de acuerdo con su competencia y funciones de impartición y administración de justicia</w:t>
      </w:r>
      <w:r w:rsidR="008F4516" w:rsidRPr="008F4516">
        <w:rPr>
          <w:rFonts w:ascii="Lato" w:hAnsi="Lato" w:cs="Arial"/>
        </w:rPr>
        <w:t xml:space="preserve"> </w:t>
      </w:r>
      <w:r w:rsidR="008F4516">
        <w:rPr>
          <w:rFonts w:ascii="Lato" w:hAnsi="Lato" w:cs="Arial"/>
        </w:rPr>
        <w:t>d</w:t>
      </w:r>
      <w:r w:rsidR="008F4516" w:rsidRPr="001D02F7">
        <w:rPr>
          <w:rFonts w:ascii="Lato" w:hAnsi="Lato" w:cs="Arial"/>
        </w:rPr>
        <w:t xml:space="preserve">e conformidad con lo </w:t>
      </w:r>
      <w:r w:rsidR="008F4516">
        <w:rPr>
          <w:rFonts w:ascii="Lato" w:hAnsi="Lato" w:cs="Arial"/>
        </w:rPr>
        <w:t>expuesto y fundado en el C</w:t>
      </w:r>
      <w:r w:rsidR="008F4516" w:rsidRPr="001D02F7">
        <w:rPr>
          <w:rFonts w:ascii="Lato" w:hAnsi="Lato" w:cs="Arial"/>
        </w:rPr>
        <w:t>onsiderando Segundo de la presente resolución</w:t>
      </w:r>
      <w:r w:rsidR="008F4516">
        <w:rPr>
          <w:rFonts w:ascii="Lato" w:hAnsi="Lato" w:cs="Arial"/>
          <w:b/>
        </w:rPr>
        <w:t>. E</w:t>
      </w:r>
      <w:r w:rsidR="00AA4FE3" w:rsidRPr="00AA4FE3">
        <w:rPr>
          <w:rFonts w:ascii="Lato" w:hAnsi="Lato" w:cs="Arial"/>
          <w:b/>
        </w:rPr>
        <w:t xml:space="preserve">n atención a las consideraciones realizadas por el Órgano Garante en el Punto Sexto de sus Considerandos, </w:t>
      </w:r>
      <w:r w:rsidR="008F4516">
        <w:rPr>
          <w:rFonts w:ascii="Lato" w:hAnsi="Lato" w:cs="Arial"/>
          <w:b/>
        </w:rPr>
        <w:t xml:space="preserve">mediante esta determinación </w:t>
      </w:r>
      <w:r w:rsidR="00AA4FE3" w:rsidRPr="00AA4FE3">
        <w:rPr>
          <w:rFonts w:ascii="Lato" w:hAnsi="Lato" w:cs="Arial"/>
          <w:b/>
        </w:rPr>
        <w:t>es de modificarse la respuesta dada por la Unidad de Transparencia</w:t>
      </w:r>
      <w:r w:rsidR="00AA4FE3">
        <w:rPr>
          <w:rFonts w:ascii="Lato" w:hAnsi="Lato" w:cs="Arial"/>
        </w:rPr>
        <w:t xml:space="preserve"> </w:t>
      </w:r>
      <w:r w:rsidR="00AA4FE3" w:rsidRPr="001F7478">
        <w:rPr>
          <w:rFonts w:ascii="Lato" w:hAnsi="Lato" w:cs="Arial"/>
        </w:rPr>
        <w:t>mediante oficio número 0373/UT/</w:t>
      </w:r>
      <w:proofErr w:type="spellStart"/>
      <w:r w:rsidR="00AA4FE3" w:rsidRPr="001F7478">
        <w:rPr>
          <w:rFonts w:ascii="Lato" w:hAnsi="Lato" w:cs="Arial"/>
        </w:rPr>
        <w:t>MXL</w:t>
      </w:r>
      <w:proofErr w:type="spellEnd"/>
      <w:r w:rsidR="00AA4FE3" w:rsidRPr="001F7478">
        <w:rPr>
          <w:rFonts w:ascii="Lato" w:hAnsi="Lato" w:cs="Arial"/>
        </w:rPr>
        <w:t>/201</w:t>
      </w:r>
      <w:r w:rsidR="00AA4FE3">
        <w:rPr>
          <w:rFonts w:ascii="Lato" w:hAnsi="Lato" w:cs="Arial"/>
        </w:rPr>
        <w:t>8, de fecha 05 de marzo de 2018</w:t>
      </w:r>
      <w:r w:rsidR="00EC0196">
        <w:rPr>
          <w:rFonts w:ascii="Lato" w:hAnsi="Lato" w:cs="Arial"/>
        </w:rPr>
        <w:t xml:space="preserve">, </w:t>
      </w:r>
      <w:r w:rsidR="008F4516">
        <w:rPr>
          <w:rFonts w:ascii="Lato" w:hAnsi="Lato" w:cs="Arial"/>
        </w:rPr>
        <w:t xml:space="preserve">por lo que habrá de respondérsele de nueva cuenta haciéndosele entrega de copia de esta acta en la que consta la declaratoria de incompetencia de este Comité, lo que deberá hacerse </w:t>
      </w:r>
      <w:r w:rsidR="00632522" w:rsidRPr="00AF1408">
        <w:rPr>
          <w:rFonts w:ascii="Lato" w:hAnsi="Lato" w:cs="Arial"/>
          <w:b/>
        </w:rPr>
        <w:t>por conducto de la Unidad de Transparencia</w:t>
      </w:r>
      <w:r w:rsidR="008F4516">
        <w:rPr>
          <w:rFonts w:ascii="Lato" w:hAnsi="Lato" w:cs="Arial"/>
          <w:b/>
        </w:rPr>
        <w:t>,</w:t>
      </w:r>
      <w:r w:rsidR="00632522" w:rsidRPr="007A2FA2">
        <w:rPr>
          <w:rFonts w:ascii="Lato" w:hAnsi="Lato" w:cs="Arial"/>
        </w:rPr>
        <w:t xml:space="preserve"> de confor</w:t>
      </w:r>
      <w:r w:rsidR="00AF1408">
        <w:rPr>
          <w:rFonts w:ascii="Lato" w:hAnsi="Lato" w:cs="Arial"/>
        </w:rPr>
        <w:t>midad a la L</w:t>
      </w:r>
      <w:r w:rsidR="00632522" w:rsidRPr="007A2FA2">
        <w:rPr>
          <w:rFonts w:ascii="Lato" w:hAnsi="Lato" w:cs="Arial"/>
        </w:rPr>
        <w:t xml:space="preserve">ey de la materia. </w:t>
      </w:r>
      <w:r w:rsidR="00AF1408">
        <w:rPr>
          <w:rFonts w:ascii="Lato" w:hAnsi="Lato" w:cs="Arial"/>
        </w:rPr>
        <w:t xml:space="preserve">Hecho lo anterior, </w:t>
      </w:r>
      <w:r w:rsidR="00AF1408" w:rsidRPr="00B347B4">
        <w:rPr>
          <w:rFonts w:ascii="Lato" w:hAnsi="Lato" w:cs="Arial"/>
          <w:b/>
        </w:rPr>
        <w:t>notifíquese por conducto de la Unidad Jurídica y de Asesoría Interna del Consejo de la Judicatura</w:t>
      </w:r>
      <w:r w:rsidR="00B347B4" w:rsidRPr="00B347B4">
        <w:rPr>
          <w:rFonts w:ascii="Lato" w:hAnsi="Lato" w:cs="Arial"/>
          <w:b/>
        </w:rPr>
        <w:t>,</w:t>
      </w:r>
      <w:r w:rsidR="00AF1408" w:rsidRPr="00B347B4">
        <w:rPr>
          <w:rFonts w:ascii="Lato" w:hAnsi="Lato" w:cs="Arial"/>
          <w:b/>
        </w:rPr>
        <w:t xml:space="preserve"> al Instituto de Transparencia</w:t>
      </w:r>
      <w:r w:rsidR="00AF1408">
        <w:rPr>
          <w:rFonts w:ascii="Lato" w:hAnsi="Lato" w:cs="Arial"/>
        </w:rPr>
        <w:t xml:space="preserve">, Acceso a la Información Pública y Protección de Datos Personales del </w:t>
      </w:r>
      <w:r w:rsidR="00AF1408" w:rsidRPr="00AF1408">
        <w:rPr>
          <w:rFonts w:ascii="Lato" w:hAnsi="Lato" w:cs="Arial"/>
        </w:rPr>
        <w:t>Estado</w:t>
      </w:r>
      <w:r w:rsidR="00504AF0">
        <w:rPr>
          <w:rFonts w:ascii="Lato" w:hAnsi="Lato" w:cs="Arial"/>
        </w:rPr>
        <w:t xml:space="preserve"> de Baja California</w:t>
      </w:r>
      <w:r w:rsidR="00AF1408">
        <w:rPr>
          <w:rFonts w:ascii="Lato" w:hAnsi="Lato" w:cs="Arial"/>
        </w:rPr>
        <w:t>, del cumplimiento dado a su resolución, en términos de sus puntos</w:t>
      </w:r>
      <w:r w:rsidR="004779F3">
        <w:rPr>
          <w:rFonts w:ascii="Lato" w:hAnsi="Lato" w:cs="Arial"/>
        </w:rPr>
        <w:t xml:space="preserve"> </w:t>
      </w:r>
      <w:r w:rsidR="00AF1408">
        <w:rPr>
          <w:rFonts w:ascii="Lato" w:hAnsi="Lato" w:cs="Arial"/>
        </w:rPr>
        <w:t>Resolutivos</w:t>
      </w:r>
      <w:r w:rsidR="004779F3">
        <w:rPr>
          <w:rFonts w:ascii="Lato" w:hAnsi="Lato" w:cs="Arial"/>
        </w:rPr>
        <w:t xml:space="preserve"> </w:t>
      </w:r>
      <w:r w:rsidR="00B347B4">
        <w:rPr>
          <w:rFonts w:ascii="Lato" w:hAnsi="Lato" w:cs="Arial"/>
        </w:rPr>
        <w:t xml:space="preserve">Primero, </w:t>
      </w:r>
      <w:r w:rsidR="00AF1408">
        <w:rPr>
          <w:rFonts w:ascii="Lato" w:hAnsi="Lato" w:cs="Arial"/>
        </w:rPr>
        <w:t>Segundo y Tercero.</w:t>
      </w:r>
      <w:r w:rsidR="004779F3">
        <w:rPr>
          <w:rFonts w:ascii="Lato" w:hAnsi="Lato" w:cs="Arial"/>
        </w:rPr>
        <w:t xml:space="preserve"> </w:t>
      </w:r>
    </w:p>
    <w:p w:rsidR="00F4051D" w:rsidRDefault="00F4051D" w:rsidP="00DF76A5">
      <w:pPr>
        <w:spacing w:line="360" w:lineRule="auto"/>
        <w:jc w:val="both"/>
        <w:rPr>
          <w:rFonts w:ascii="Lato" w:hAnsi="Lato" w:cs="Arial"/>
          <w:lang w:val="es-ES"/>
        </w:rPr>
      </w:pPr>
    </w:p>
    <w:p w:rsidR="00DF76A5" w:rsidRPr="007A2FA2" w:rsidRDefault="00DF76A5" w:rsidP="00BD26DA">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 siendo las </w:t>
      </w:r>
      <w:r w:rsidR="00F17FE3">
        <w:rPr>
          <w:rFonts w:ascii="Lato" w:hAnsi="Lato" w:cs="Arial"/>
        </w:rPr>
        <w:t>trece</w:t>
      </w:r>
      <w:r w:rsidRPr="007A2FA2">
        <w:rPr>
          <w:rFonts w:ascii="Lato" w:hAnsi="Lato" w:cs="Arial"/>
        </w:rPr>
        <w:t xml:space="preserve"> horas con tr</w:t>
      </w:r>
      <w:r w:rsidR="00F17FE3">
        <w:rPr>
          <w:rFonts w:ascii="Lato" w:hAnsi="Lato" w:cs="Arial"/>
        </w:rPr>
        <w:t xml:space="preserve">einta minutos del día diez de julio </w:t>
      </w:r>
      <w:r w:rsidRPr="007A2FA2">
        <w:rPr>
          <w:rFonts w:ascii="Lato" w:hAnsi="Lato" w:cs="Arial"/>
        </w:rPr>
        <w:t>de 2018.</w:t>
      </w: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p>
    <w:p w:rsidR="00BD26DA" w:rsidRDefault="00BD26DA" w:rsidP="00DF76A5">
      <w:pPr>
        <w:jc w:val="center"/>
        <w:rPr>
          <w:rFonts w:ascii="Lato" w:hAnsi="Lato" w:cs="Arial"/>
          <w:bCs/>
        </w:rPr>
      </w:pPr>
    </w:p>
    <w:p w:rsidR="00BD26DA" w:rsidRDefault="00BD26DA" w:rsidP="00DF76A5">
      <w:pPr>
        <w:jc w:val="center"/>
        <w:rPr>
          <w:rFonts w:ascii="Lato" w:hAnsi="Lato" w:cs="Arial"/>
          <w:bCs/>
        </w:rPr>
      </w:pPr>
    </w:p>
    <w:p w:rsidR="00BD26DA" w:rsidRDefault="00BD26DA" w:rsidP="00DF76A5">
      <w:pPr>
        <w:jc w:val="center"/>
        <w:rPr>
          <w:rFonts w:ascii="Lato" w:hAnsi="Lato" w:cs="Arial"/>
          <w:bCs/>
        </w:rPr>
      </w:pPr>
    </w:p>
    <w:p w:rsidR="00BD26DA" w:rsidRDefault="00BD26DA" w:rsidP="00DF76A5">
      <w:pPr>
        <w:jc w:val="center"/>
        <w:rPr>
          <w:rFonts w:ascii="Lato" w:hAnsi="Lato" w:cs="Arial"/>
          <w:bCs/>
        </w:rPr>
      </w:pPr>
    </w:p>
    <w:p w:rsidR="00BD26DA" w:rsidRPr="007A2FA2" w:rsidRDefault="00BD26DA" w:rsidP="00DF76A5">
      <w:pPr>
        <w:jc w:val="center"/>
        <w:rPr>
          <w:rFonts w:ascii="Lato" w:hAnsi="Lato" w:cs="Arial"/>
          <w:bCs/>
        </w:rPr>
      </w:pP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del Consejo de la Judicatura del Estado</w:t>
      </w:r>
      <w:r w:rsidR="00B347B4">
        <w:rPr>
          <w:rFonts w:ascii="Lato" w:hAnsi="Lato" w:cs="Arial"/>
          <w:bCs/>
        </w:rPr>
        <w:t xml:space="preserve"> y Presidente del Comité para la Transparencia,</w:t>
      </w:r>
      <w:r w:rsidR="004779F3">
        <w:rPr>
          <w:rFonts w:ascii="Lato" w:hAnsi="Lato" w:cs="Arial"/>
          <w:bCs/>
        </w:rPr>
        <w:t xml:space="preserve"> </w:t>
      </w:r>
      <w:r w:rsidR="00B347B4">
        <w:rPr>
          <w:rFonts w:ascii="Lato" w:hAnsi="Lato" w:cs="Arial"/>
          <w:bCs/>
        </w:rPr>
        <w:t>Acceso a la Información Pública y Protección de Datos Personales del Poder Judicial del Estado de Baja California</w:t>
      </w:r>
    </w:p>
    <w:p w:rsidR="00F3735E" w:rsidRPr="007A2FA2" w:rsidRDefault="00F3735E" w:rsidP="00F3735E">
      <w:pPr>
        <w:jc w:val="center"/>
        <w:rPr>
          <w:rFonts w:ascii="Lato" w:hAnsi="Lato" w:cs="Arial"/>
          <w:bCs/>
        </w:rPr>
      </w:pPr>
    </w:p>
    <w:p w:rsidR="00F3735E" w:rsidRPr="007A2FA2"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Pr="007A2FA2" w:rsidRDefault="00F3735E" w:rsidP="00F3735E">
      <w:pPr>
        <w:jc w:val="center"/>
        <w:rPr>
          <w:rFonts w:ascii="Lato" w:hAnsi="Lato" w:cs="Arial"/>
          <w:bCs/>
        </w:rPr>
      </w:pPr>
    </w:p>
    <w:p w:rsidR="00F3735E" w:rsidRPr="007A2FA2" w:rsidRDefault="00F3735E" w:rsidP="00F3735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MAGISTRADA COLUMBA IMELDA AMADOR GUILLÉN</w:t>
      </w:r>
    </w:p>
    <w:p w:rsidR="00DF76A5" w:rsidRPr="007A2FA2" w:rsidRDefault="00DF76A5" w:rsidP="00DF76A5">
      <w:pPr>
        <w:jc w:val="center"/>
        <w:rPr>
          <w:rFonts w:ascii="Lato" w:hAnsi="Lato" w:cs="Arial"/>
          <w:bCs/>
        </w:rPr>
      </w:pPr>
      <w:r w:rsidRPr="007A2FA2">
        <w:rPr>
          <w:rFonts w:ascii="Lato" w:hAnsi="Lato" w:cs="Arial"/>
          <w:bCs/>
        </w:rPr>
        <w:t xml:space="preserve">Consejera Presidenta de la Comisión de Vigilancia y Disciplina del </w:t>
      </w:r>
    </w:p>
    <w:p w:rsidR="00DF76A5" w:rsidRPr="007A2FA2" w:rsidRDefault="00DF76A5" w:rsidP="00DF76A5">
      <w:pPr>
        <w:jc w:val="center"/>
        <w:rPr>
          <w:rFonts w:ascii="Lato" w:hAnsi="Lato" w:cs="Arial"/>
          <w:bCs/>
        </w:rPr>
      </w:pPr>
      <w:r w:rsidRPr="007A2FA2">
        <w:rPr>
          <w:rFonts w:ascii="Lato" w:hAnsi="Lato" w:cs="Arial"/>
          <w:bCs/>
        </w:rPr>
        <w:t>Consejo de la Judicatura del Estado</w:t>
      </w:r>
    </w:p>
    <w:p w:rsidR="00F3735E" w:rsidRPr="007A2FA2"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Pr="007A2FA2" w:rsidRDefault="00F3735E" w:rsidP="00F3735E">
      <w:pPr>
        <w:jc w:val="center"/>
        <w:rPr>
          <w:rFonts w:ascii="Lato" w:hAnsi="Lato" w:cs="Arial"/>
          <w:bCs/>
        </w:rPr>
      </w:pPr>
    </w:p>
    <w:p w:rsidR="00F3735E" w:rsidRPr="007A2FA2" w:rsidRDefault="00F3735E" w:rsidP="00F3735E">
      <w:pPr>
        <w:jc w:val="center"/>
        <w:rPr>
          <w:rFonts w:ascii="Lato" w:hAnsi="Lato" w:cs="Arial"/>
          <w:bCs/>
        </w:rPr>
      </w:pPr>
    </w:p>
    <w:p w:rsidR="00DF76A5" w:rsidRPr="007A2FA2" w:rsidRDefault="00DF76A5" w:rsidP="00DF76A5">
      <w:pPr>
        <w:tabs>
          <w:tab w:val="left" w:pos="1993"/>
        </w:tabs>
        <w:jc w:val="center"/>
        <w:rPr>
          <w:rFonts w:ascii="Lato" w:hAnsi="Lato" w:cs="Arial"/>
          <w:bCs/>
        </w:rPr>
      </w:pPr>
      <w:r w:rsidRPr="007A2FA2">
        <w:rPr>
          <w:rFonts w:ascii="Lato" w:hAnsi="Lato" w:cs="Arial"/>
          <w:bCs/>
        </w:rPr>
        <w:t>MAGISTRADO FÉLIX HERRERA ESQUIVEL</w:t>
      </w:r>
    </w:p>
    <w:p w:rsidR="00DF76A5" w:rsidRPr="007A2FA2" w:rsidRDefault="00DF76A5" w:rsidP="00DF76A5">
      <w:pPr>
        <w:jc w:val="center"/>
        <w:rPr>
          <w:rFonts w:ascii="Lato" w:hAnsi="Lato" w:cs="Arial"/>
          <w:bCs/>
        </w:rPr>
      </w:pPr>
      <w:r w:rsidRPr="007A2FA2">
        <w:rPr>
          <w:rFonts w:ascii="Lato" w:hAnsi="Lato" w:cs="Arial"/>
          <w:bCs/>
        </w:rPr>
        <w:t>Adscrito a la Primera Sala Civil del Tribunal Superior de Justicia.</w:t>
      </w:r>
    </w:p>
    <w:p w:rsidR="00F3735E" w:rsidRPr="007A2FA2"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Pr="007A2FA2" w:rsidRDefault="00F3735E" w:rsidP="00F3735E">
      <w:pPr>
        <w:jc w:val="center"/>
        <w:rPr>
          <w:rFonts w:ascii="Lato" w:hAnsi="Lato" w:cs="Arial"/>
          <w:bCs/>
        </w:rPr>
      </w:pPr>
    </w:p>
    <w:p w:rsidR="00F3735E" w:rsidRPr="007A2FA2" w:rsidRDefault="00F3735E" w:rsidP="00F3735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LIC.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F3735E" w:rsidRPr="007A2FA2" w:rsidRDefault="00F3735E" w:rsidP="00F3735E">
      <w:pPr>
        <w:jc w:val="center"/>
        <w:rPr>
          <w:rFonts w:ascii="Lato" w:hAnsi="Lato" w:cs="Arial"/>
          <w:bCs/>
        </w:rPr>
      </w:pPr>
    </w:p>
    <w:p w:rsidR="00F3735E" w:rsidRPr="007A2FA2"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Pr="007A2FA2" w:rsidRDefault="00F3735E" w:rsidP="00F3735E">
      <w:pPr>
        <w:jc w:val="center"/>
        <w:rPr>
          <w:rFonts w:ascii="Lato" w:hAnsi="Lato" w:cs="Arial"/>
          <w:bCs/>
        </w:rPr>
      </w:pPr>
    </w:p>
    <w:p w:rsidR="00F3735E" w:rsidRPr="007A2FA2" w:rsidRDefault="00F3735E" w:rsidP="00F3735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C.P. JORGE ALBERTO CORAL </w:t>
      </w:r>
      <w:r w:rsidR="000C6F93" w:rsidRPr="007A2FA2">
        <w:rPr>
          <w:rFonts w:ascii="Lato" w:hAnsi="Lato" w:cs="Arial"/>
          <w:bCs/>
        </w:rPr>
        <w:t>GUTIÉRREZ</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F3735E" w:rsidRPr="007A2FA2" w:rsidRDefault="00F3735E" w:rsidP="00F3735E">
      <w:pPr>
        <w:jc w:val="center"/>
        <w:rPr>
          <w:rFonts w:ascii="Lato" w:hAnsi="Lato" w:cs="Arial"/>
          <w:bCs/>
        </w:rPr>
      </w:pPr>
    </w:p>
    <w:p w:rsidR="00F3735E" w:rsidRPr="007A2FA2"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Default="00F3735E" w:rsidP="00F3735E">
      <w:pPr>
        <w:jc w:val="center"/>
        <w:rPr>
          <w:rFonts w:ascii="Lato" w:hAnsi="Lato" w:cs="Arial"/>
          <w:bCs/>
        </w:rPr>
      </w:pPr>
    </w:p>
    <w:p w:rsidR="00F3735E" w:rsidRPr="007A2FA2" w:rsidRDefault="00F3735E" w:rsidP="00F3735E">
      <w:pPr>
        <w:jc w:val="center"/>
        <w:rPr>
          <w:rFonts w:ascii="Lato" w:hAnsi="Lato" w:cs="Arial"/>
          <w:bCs/>
        </w:rPr>
      </w:pPr>
    </w:p>
    <w:p w:rsidR="00F3735E" w:rsidRPr="007A2FA2" w:rsidRDefault="00F3735E" w:rsidP="00F3735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DF76A5" w:rsidRPr="007A2FA2" w:rsidRDefault="00DF76A5" w:rsidP="00DF76A5">
      <w:pPr>
        <w:jc w:val="center"/>
        <w:rPr>
          <w:rFonts w:ascii="Lato" w:hAnsi="Lato" w:cs="Arial"/>
        </w:rPr>
      </w:pPr>
      <w:r w:rsidRPr="007A2FA2">
        <w:rPr>
          <w:rFonts w:ascii="Lato" w:hAnsi="Lato" w:cs="Arial"/>
          <w:bCs/>
        </w:rPr>
        <w:t>Secretaria Técnica del Comité</w:t>
      </w:r>
    </w:p>
    <w:sectPr w:rsidR="00DF76A5" w:rsidRPr="007A2FA2" w:rsidSect="00DA524A">
      <w:headerReference w:type="default" r:id="rId10"/>
      <w:footerReference w:type="default" r:id="rId11"/>
      <w:headerReference w:type="first" r:id="rId12"/>
      <w:footerReference w:type="first" r:id="rId13"/>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FA0" w:rsidRDefault="008A2FA0" w:rsidP="00CC10D2">
      <w:r>
        <w:separator/>
      </w:r>
    </w:p>
  </w:endnote>
  <w:endnote w:type="continuationSeparator" w:id="0">
    <w:p w:rsidR="008A2FA0" w:rsidRDefault="008A2FA0"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F17FE3">
          <w:pPr>
            <w:pStyle w:val="Piedepgina"/>
            <w:rPr>
              <w:rFonts w:ascii="Lato" w:hAnsi="Lato" w:cs="Arial"/>
            </w:rPr>
          </w:pPr>
          <w:r w:rsidRPr="00DA524A">
            <w:rPr>
              <w:rFonts w:ascii="Lato" w:hAnsi="Lato" w:cs="Arial"/>
            </w:rPr>
            <w:t>Acta relati</w:t>
          </w:r>
          <w:r w:rsidR="00F17FE3">
            <w:rPr>
              <w:rFonts w:ascii="Lato" w:hAnsi="Lato" w:cs="Arial"/>
            </w:rPr>
            <w:t>va a la Sesión Extraordinaria 25</w:t>
          </w:r>
          <w:r w:rsidRPr="00DA524A">
            <w:rPr>
              <w:rFonts w:ascii="Lato" w:hAnsi="Lato" w:cs="Arial"/>
            </w:rPr>
            <w:t>/</w:t>
          </w:r>
          <w:r w:rsidR="004779F3">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54E22" w:rsidRPr="00DA524A">
            <w:rPr>
              <w:rFonts w:ascii="Lato" w:hAnsi="Lato" w:cs="Arial"/>
            </w:rPr>
            <w:fldChar w:fldCharType="begin"/>
          </w:r>
          <w:r w:rsidRPr="00DA524A">
            <w:rPr>
              <w:rFonts w:ascii="Lato" w:hAnsi="Lato" w:cs="Arial"/>
            </w:rPr>
            <w:instrText xml:space="preserve"> PAGE   \* MERGEFORMAT </w:instrText>
          </w:r>
          <w:r w:rsidR="00F54E22" w:rsidRPr="00DA524A">
            <w:rPr>
              <w:rFonts w:ascii="Lato" w:hAnsi="Lato" w:cs="Arial"/>
            </w:rPr>
            <w:fldChar w:fldCharType="separate"/>
          </w:r>
          <w:r w:rsidR="00F3735E">
            <w:rPr>
              <w:rFonts w:ascii="Lato" w:hAnsi="Lato" w:cs="Arial"/>
              <w:noProof/>
            </w:rPr>
            <w:t>15</w:t>
          </w:r>
          <w:r w:rsidR="00F54E22" w:rsidRPr="00DA524A">
            <w:rPr>
              <w:rFonts w:ascii="Lato" w:hAnsi="Lato" w:cs="Arial"/>
            </w:rPr>
            <w:fldChar w:fldCharType="end"/>
          </w:r>
          <w:r w:rsidRPr="00DA524A">
            <w:rPr>
              <w:rFonts w:ascii="Lato" w:hAnsi="Lato" w:cs="Arial"/>
            </w:rPr>
            <w:t xml:space="preserve"> de </w:t>
          </w:r>
          <w:fldSimple w:instr=" NUMPAGES   \* MERGEFORMAT ">
            <w:r w:rsidR="00F3735E" w:rsidRPr="00F3735E">
              <w:rPr>
                <w:rFonts w:ascii="Lato" w:hAnsi="Lato" w:cs="Arial"/>
                <w:noProof/>
              </w:rPr>
              <w:t>16</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F17FE3">
          <w:pPr>
            <w:pStyle w:val="Piedepgina"/>
            <w:rPr>
              <w:rFonts w:ascii="Lato" w:hAnsi="Lato" w:cs="Arial"/>
            </w:rPr>
          </w:pPr>
          <w:r w:rsidRPr="00DA524A">
            <w:rPr>
              <w:rFonts w:ascii="Lato" w:hAnsi="Lato" w:cs="Arial"/>
            </w:rPr>
            <w:t>Acta relati</w:t>
          </w:r>
          <w:r w:rsidR="00C64449">
            <w:rPr>
              <w:rFonts w:ascii="Lato" w:hAnsi="Lato" w:cs="Arial"/>
            </w:rPr>
            <w:t xml:space="preserve">va a la Sesión Extraordinaria </w:t>
          </w:r>
          <w:r w:rsidR="00F17FE3">
            <w:rPr>
              <w:rFonts w:ascii="Lato" w:hAnsi="Lato" w:cs="Arial"/>
            </w:rPr>
            <w:t>25</w:t>
          </w:r>
          <w:r w:rsidRPr="00DA524A">
            <w:rPr>
              <w:rFonts w:ascii="Lato" w:hAnsi="Lato" w:cs="Arial"/>
            </w:rPr>
            <w:t>/</w:t>
          </w:r>
          <w:r w:rsidR="001E13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54E22" w:rsidRPr="00DA524A">
            <w:rPr>
              <w:rFonts w:ascii="Lato" w:hAnsi="Lato" w:cs="Arial"/>
            </w:rPr>
            <w:fldChar w:fldCharType="begin"/>
          </w:r>
          <w:r w:rsidRPr="00DA524A">
            <w:rPr>
              <w:rFonts w:ascii="Lato" w:hAnsi="Lato" w:cs="Arial"/>
            </w:rPr>
            <w:instrText xml:space="preserve"> PAGE   \* MERGEFORMAT </w:instrText>
          </w:r>
          <w:r w:rsidR="00F54E22" w:rsidRPr="00DA524A">
            <w:rPr>
              <w:rFonts w:ascii="Lato" w:hAnsi="Lato" w:cs="Arial"/>
            </w:rPr>
            <w:fldChar w:fldCharType="separate"/>
          </w:r>
          <w:r w:rsidR="00BD26DA">
            <w:rPr>
              <w:rFonts w:ascii="Lato" w:hAnsi="Lato" w:cs="Arial"/>
              <w:noProof/>
            </w:rPr>
            <w:t>1</w:t>
          </w:r>
          <w:r w:rsidR="00F54E22" w:rsidRPr="00DA524A">
            <w:rPr>
              <w:rFonts w:ascii="Lato" w:hAnsi="Lato" w:cs="Arial"/>
            </w:rPr>
            <w:fldChar w:fldCharType="end"/>
          </w:r>
          <w:r w:rsidRPr="00DA524A">
            <w:rPr>
              <w:rFonts w:ascii="Lato" w:hAnsi="Lato" w:cs="Arial"/>
            </w:rPr>
            <w:t xml:space="preserve"> de </w:t>
          </w:r>
          <w:fldSimple w:instr=" NUMPAGES   \* MERGEFORMAT ">
            <w:r w:rsidR="00BD26DA" w:rsidRPr="00BD26DA">
              <w:rPr>
                <w:rFonts w:ascii="Lato" w:hAnsi="Lato" w:cs="Arial"/>
                <w:noProof/>
              </w:rPr>
              <w:t>16</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FA0" w:rsidRDefault="008A2FA0" w:rsidP="00CC10D2">
      <w:r>
        <w:separator/>
      </w:r>
    </w:p>
  </w:footnote>
  <w:footnote w:type="continuationSeparator" w:id="0">
    <w:p w:rsidR="008A2FA0" w:rsidRDefault="008A2FA0"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40F2"/>
    <w:multiLevelType w:val="hybridMultilevel"/>
    <w:tmpl w:val="2E562616"/>
    <w:lvl w:ilvl="0" w:tplc="080A0011">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53985"/>
    <w:rsid w:val="00061D6B"/>
    <w:rsid w:val="00071BB8"/>
    <w:rsid w:val="0007627B"/>
    <w:rsid w:val="00083201"/>
    <w:rsid w:val="000C6F93"/>
    <w:rsid w:val="000D6DBF"/>
    <w:rsid w:val="000E6C79"/>
    <w:rsid w:val="000F58C6"/>
    <w:rsid w:val="001229AA"/>
    <w:rsid w:val="001238C8"/>
    <w:rsid w:val="001330D8"/>
    <w:rsid w:val="001611BC"/>
    <w:rsid w:val="001675E3"/>
    <w:rsid w:val="001C5269"/>
    <w:rsid w:val="001D02F7"/>
    <w:rsid w:val="001E13DA"/>
    <w:rsid w:val="001E1D0F"/>
    <w:rsid w:val="001E46D1"/>
    <w:rsid w:val="001F2757"/>
    <w:rsid w:val="001F7478"/>
    <w:rsid w:val="0023379E"/>
    <w:rsid w:val="00251226"/>
    <w:rsid w:val="00261D85"/>
    <w:rsid w:val="00271B0C"/>
    <w:rsid w:val="002829EA"/>
    <w:rsid w:val="00297C33"/>
    <w:rsid w:val="002A516B"/>
    <w:rsid w:val="002B5988"/>
    <w:rsid w:val="002E0116"/>
    <w:rsid w:val="002E15ED"/>
    <w:rsid w:val="002F09DC"/>
    <w:rsid w:val="00311E94"/>
    <w:rsid w:val="00311F36"/>
    <w:rsid w:val="00331BE6"/>
    <w:rsid w:val="00343754"/>
    <w:rsid w:val="00367D01"/>
    <w:rsid w:val="00385B68"/>
    <w:rsid w:val="00387157"/>
    <w:rsid w:val="00397E4C"/>
    <w:rsid w:val="003A7045"/>
    <w:rsid w:val="003B2854"/>
    <w:rsid w:val="003C30F1"/>
    <w:rsid w:val="003E1909"/>
    <w:rsid w:val="003E7253"/>
    <w:rsid w:val="003F0846"/>
    <w:rsid w:val="0040466C"/>
    <w:rsid w:val="00445058"/>
    <w:rsid w:val="00451B76"/>
    <w:rsid w:val="00474D4D"/>
    <w:rsid w:val="004779F3"/>
    <w:rsid w:val="00492529"/>
    <w:rsid w:val="004A2A3A"/>
    <w:rsid w:val="004C77D6"/>
    <w:rsid w:val="004D2D18"/>
    <w:rsid w:val="004E4631"/>
    <w:rsid w:val="004F5386"/>
    <w:rsid w:val="004F700D"/>
    <w:rsid w:val="00503DA5"/>
    <w:rsid w:val="00504AF0"/>
    <w:rsid w:val="0051010A"/>
    <w:rsid w:val="005157B0"/>
    <w:rsid w:val="005357C8"/>
    <w:rsid w:val="005B5910"/>
    <w:rsid w:val="0060496B"/>
    <w:rsid w:val="00607CC2"/>
    <w:rsid w:val="00632522"/>
    <w:rsid w:val="00640507"/>
    <w:rsid w:val="00640D3C"/>
    <w:rsid w:val="006475F0"/>
    <w:rsid w:val="0066482F"/>
    <w:rsid w:val="00671E47"/>
    <w:rsid w:val="00672F3D"/>
    <w:rsid w:val="00686C4B"/>
    <w:rsid w:val="00691712"/>
    <w:rsid w:val="00705936"/>
    <w:rsid w:val="00716AD1"/>
    <w:rsid w:val="007356C3"/>
    <w:rsid w:val="00757129"/>
    <w:rsid w:val="0078311C"/>
    <w:rsid w:val="007A7B81"/>
    <w:rsid w:val="007B5C82"/>
    <w:rsid w:val="007F0B48"/>
    <w:rsid w:val="007F2222"/>
    <w:rsid w:val="00833199"/>
    <w:rsid w:val="008338DC"/>
    <w:rsid w:val="0086420D"/>
    <w:rsid w:val="00890668"/>
    <w:rsid w:val="0089138E"/>
    <w:rsid w:val="008A1794"/>
    <w:rsid w:val="008A2FA0"/>
    <w:rsid w:val="008C2B10"/>
    <w:rsid w:val="008F4516"/>
    <w:rsid w:val="00912682"/>
    <w:rsid w:val="00920EF1"/>
    <w:rsid w:val="009236BE"/>
    <w:rsid w:val="00934328"/>
    <w:rsid w:val="009667D9"/>
    <w:rsid w:val="009A3124"/>
    <w:rsid w:val="009D5743"/>
    <w:rsid w:val="009F0C70"/>
    <w:rsid w:val="00A1042A"/>
    <w:rsid w:val="00A430B9"/>
    <w:rsid w:val="00A629F1"/>
    <w:rsid w:val="00A756ED"/>
    <w:rsid w:val="00AA4FE3"/>
    <w:rsid w:val="00AF1408"/>
    <w:rsid w:val="00AF227B"/>
    <w:rsid w:val="00B347B4"/>
    <w:rsid w:val="00B473B3"/>
    <w:rsid w:val="00B63DC7"/>
    <w:rsid w:val="00BA7BBD"/>
    <w:rsid w:val="00BC4FD2"/>
    <w:rsid w:val="00BD26DA"/>
    <w:rsid w:val="00BE4819"/>
    <w:rsid w:val="00C175EA"/>
    <w:rsid w:val="00C41124"/>
    <w:rsid w:val="00C45056"/>
    <w:rsid w:val="00C523C4"/>
    <w:rsid w:val="00C63C55"/>
    <w:rsid w:val="00C64449"/>
    <w:rsid w:val="00C7162C"/>
    <w:rsid w:val="00C81391"/>
    <w:rsid w:val="00C92ADA"/>
    <w:rsid w:val="00CA6485"/>
    <w:rsid w:val="00CC10D2"/>
    <w:rsid w:val="00CF1ABD"/>
    <w:rsid w:val="00D05C07"/>
    <w:rsid w:val="00D3009D"/>
    <w:rsid w:val="00D31A6A"/>
    <w:rsid w:val="00D9124A"/>
    <w:rsid w:val="00D96376"/>
    <w:rsid w:val="00DA524A"/>
    <w:rsid w:val="00DA5275"/>
    <w:rsid w:val="00DB58AE"/>
    <w:rsid w:val="00DC3364"/>
    <w:rsid w:val="00DD26CE"/>
    <w:rsid w:val="00DD711C"/>
    <w:rsid w:val="00DE2028"/>
    <w:rsid w:val="00DE58B1"/>
    <w:rsid w:val="00DF76A5"/>
    <w:rsid w:val="00E22361"/>
    <w:rsid w:val="00E42DD1"/>
    <w:rsid w:val="00E50918"/>
    <w:rsid w:val="00E82032"/>
    <w:rsid w:val="00E8536E"/>
    <w:rsid w:val="00E95217"/>
    <w:rsid w:val="00E96D9B"/>
    <w:rsid w:val="00EA2C81"/>
    <w:rsid w:val="00EB20A0"/>
    <w:rsid w:val="00EB7052"/>
    <w:rsid w:val="00EC0196"/>
    <w:rsid w:val="00EF3EF5"/>
    <w:rsid w:val="00F064DA"/>
    <w:rsid w:val="00F17FE3"/>
    <w:rsid w:val="00F27B98"/>
    <w:rsid w:val="00F3735E"/>
    <w:rsid w:val="00F4051D"/>
    <w:rsid w:val="00F4334D"/>
    <w:rsid w:val="00F438E9"/>
    <w:rsid w:val="00F54E22"/>
    <w:rsid w:val="00F82D8F"/>
    <w:rsid w:val="00F865FE"/>
    <w:rsid w:val="00F9104E"/>
    <w:rsid w:val="00F91647"/>
    <w:rsid w:val="00F93103"/>
    <w:rsid w:val="00F97456"/>
    <w:rsid w:val="00FB53CD"/>
    <w:rsid w:val="00FB652B"/>
    <w:rsid w:val="00FB71F0"/>
    <w:rsid w:val="00FD5136"/>
    <w:rsid w:val="00FE400C"/>
    <w:rsid w:val="00FE4C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051D"/>
    <w:pPr>
      <w:autoSpaceDE w:val="0"/>
      <w:autoSpaceDN w:val="0"/>
      <w:adjustRightInd w:val="0"/>
      <w:spacing w:after="0" w:line="240" w:lineRule="auto"/>
    </w:pPr>
    <w:rPr>
      <w:rFonts w:ascii="Arial" w:eastAsiaTheme="minorEastAsia" w:hAnsi="Arial" w:cs="Arial"/>
      <w:color w:val="000000"/>
      <w:sz w:val="24"/>
      <w:szCs w:val="24"/>
      <w:lang w:val="es-MX" w:eastAsia="es-MX"/>
    </w:rPr>
  </w:style>
  <w:style w:type="character" w:customStyle="1" w:styleId="Cuerpodeltexto">
    <w:name w:val="Cuerpo del texto_"/>
    <w:basedOn w:val="Fuentedeprrafopredeter"/>
    <w:link w:val="Cuerpodeltexto0"/>
    <w:rsid w:val="00F4051D"/>
    <w:rPr>
      <w:rFonts w:ascii="Arial" w:eastAsia="Arial" w:hAnsi="Arial" w:cs="Arial"/>
      <w:sz w:val="20"/>
      <w:szCs w:val="20"/>
      <w:shd w:val="clear" w:color="auto" w:fill="FFFFFF"/>
    </w:rPr>
  </w:style>
  <w:style w:type="character" w:customStyle="1" w:styleId="CuerpodeltextoEspaciado3pto">
    <w:name w:val="Cuerpo del texto + Espaciado 3 pto"/>
    <w:basedOn w:val="Cuerpodeltexto"/>
    <w:rsid w:val="00F4051D"/>
    <w:rPr>
      <w:rFonts w:ascii="Arial" w:eastAsia="Arial" w:hAnsi="Arial" w:cs="Arial"/>
      <w:spacing w:val="60"/>
      <w:sz w:val="20"/>
      <w:szCs w:val="20"/>
      <w:shd w:val="clear" w:color="auto" w:fill="FFFFFF"/>
    </w:rPr>
  </w:style>
  <w:style w:type="character" w:customStyle="1" w:styleId="Cuerpodeltexto9pto">
    <w:name w:val="Cuerpo del texto + 9 pto"/>
    <w:basedOn w:val="Cuerpodeltexto"/>
    <w:rsid w:val="00F4051D"/>
    <w:rPr>
      <w:rFonts w:ascii="Arial" w:eastAsia="Arial" w:hAnsi="Arial" w:cs="Arial"/>
      <w:sz w:val="18"/>
      <w:szCs w:val="18"/>
      <w:shd w:val="clear" w:color="auto" w:fill="FFFFFF"/>
    </w:rPr>
  </w:style>
  <w:style w:type="character" w:customStyle="1" w:styleId="Cuerpodeltexto1610pto">
    <w:name w:val="Cuerpo del texto (16) + 10 pto"/>
    <w:aliases w:val="Cursiva"/>
    <w:basedOn w:val="Fuentedeprrafopredeter"/>
    <w:rsid w:val="00F4051D"/>
    <w:rPr>
      <w:rFonts w:ascii="Arial" w:eastAsia="Arial" w:hAnsi="Arial" w:cs="Arial"/>
      <w:b w:val="0"/>
      <w:bCs w:val="0"/>
      <w:i w:val="0"/>
      <w:iCs w:val="0"/>
      <w:smallCaps w:val="0"/>
      <w:strike w:val="0"/>
      <w:spacing w:val="0"/>
      <w:sz w:val="20"/>
      <w:szCs w:val="20"/>
    </w:rPr>
  </w:style>
  <w:style w:type="character" w:customStyle="1" w:styleId="Cuerpodeltexto16">
    <w:name w:val="Cuerpo del texto (16)"/>
    <w:basedOn w:val="Fuentedeprrafopredeter"/>
    <w:rsid w:val="00F4051D"/>
    <w:rPr>
      <w:rFonts w:ascii="Arial" w:eastAsia="Arial" w:hAnsi="Arial" w:cs="Arial"/>
      <w:b w:val="0"/>
      <w:bCs w:val="0"/>
      <w:i w:val="0"/>
      <w:iCs w:val="0"/>
      <w:smallCaps w:val="0"/>
      <w:strike w:val="0"/>
      <w:spacing w:val="0"/>
      <w:sz w:val="21"/>
      <w:szCs w:val="21"/>
      <w:u w:val="single"/>
    </w:rPr>
  </w:style>
  <w:style w:type="paragraph" w:customStyle="1" w:styleId="Cuerpodeltexto0">
    <w:name w:val="Cuerpo del texto"/>
    <w:basedOn w:val="Normal"/>
    <w:link w:val="Cuerpodeltexto"/>
    <w:rsid w:val="00F4051D"/>
    <w:pPr>
      <w:shd w:val="clear" w:color="auto" w:fill="FFFFFF"/>
      <w:spacing w:line="241" w:lineRule="exact"/>
      <w:ind w:hanging="680"/>
    </w:pPr>
    <w:rPr>
      <w:rFonts w:ascii="Arial" w:eastAsia="Arial" w:hAnsi="Arial" w:cs="Arial"/>
      <w:sz w:val="20"/>
      <w:szCs w:val="20"/>
      <w:lang w:val="en-US" w:eastAsia="en-US"/>
    </w:rPr>
  </w:style>
  <w:style w:type="character" w:customStyle="1" w:styleId="Cuerpodeltexto2">
    <w:name w:val="Cuerpo del texto (2)_"/>
    <w:basedOn w:val="Fuentedeprrafopredeter"/>
    <w:link w:val="Cuerpodeltexto20"/>
    <w:rsid w:val="00F4051D"/>
    <w:rPr>
      <w:rFonts w:ascii="Arial" w:eastAsia="Arial" w:hAnsi="Arial" w:cs="Arial"/>
      <w:sz w:val="18"/>
      <w:szCs w:val="18"/>
      <w:shd w:val="clear" w:color="auto" w:fill="FFFFFF"/>
    </w:rPr>
  </w:style>
  <w:style w:type="paragraph" w:customStyle="1" w:styleId="Cuerpodeltexto20">
    <w:name w:val="Cuerpo del texto (2)"/>
    <w:basedOn w:val="Normal"/>
    <w:link w:val="Cuerpodeltexto2"/>
    <w:rsid w:val="00F4051D"/>
    <w:pPr>
      <w:shd w:val="clear" w:color="auto" w:fill="FFFFFF"/>
      <w:spacing w:line="331" w:lineRule="exact"/>
      <w:jc w:val="right"/>
    </w:pPr>
    <w:rPr>
      <w:rFonts w:ascii="Arial" w:eastAsia="Arial" w:hAnsi="Arial" w:cs="Arial"/>
      <w:sz w:val="18"/>
      <w:szCs w:val="18"/>
      <w:lang w:val="en-US" w:eastAsia="en-US"/>
    </w:rPr>
  </w:style>
  <w:style w:type="character" w:customStyle="1" w:styleId="TtuloCar">
    <w:name w:val="Título Car"/>
    <w:link w:val="Ttulo"/>
    <w:rsid w:val="00F4051D"/>
    <w:rPr>
      <w:rFonts w:ascii="Times New Roman" w:eastAsia="Times New Roman" w:hAnsi="Times New Roman"/>
      <w:b/>
      <w:sz w:val="28"/>
    </w:rPr>
  </w:style>
  <w:style w:type="paragraph" w:styleId="Ttulo">
    <w:name w:val="Title"/>
    <w:basedOn w:val="Normal"/>
    <w:link w:val="TtuloCar"/>
    <w:qFormat/>
    <w:rsid w:val="00F4051D"/>
    <w:pPr>
      <w:jc w:val="center"/>
    </w:pPr>
    <w:rPr>
      <w:rFonts w:eastAsia="Times New Roman" w:cstheme="minorBidi"/>
      <w:b/>
      <w:sz w:val="28"/>
      <w:szCs w:val="22"/>
      <w:lang w:val="en-US" w:eastAsia="en-US"/>
    </w:rPr>
  </w:style>
  <w:style w:type="character" w:customStyle="1" w:styleId="TtuloCar1">
    <w:name w:val="Título Car1"/>
    <w:basedOn w:val="Fuentedeprrafopredeter"/>
    <w:uiPriority w:val="10"/>
    <w:rsid w:val="00F4051D"/>
    <w:rPr>
      <w:rFonts w:asciiTheme="majorHAnsi" w:eastAsiaTheme="majorEastAsia" w:hAnsiTheme="majorHAnsi" w:cstheme="majorBidi"/>
      <w:color w:val="4C4635" w:themeColor="text2" w:themeShade="BF"/>
      <w:spacing w:val="5"/>
      <w:kern w:val="28"/>
      <w:sz w:val="52"/>
      <w:szCs w:val="52"/>
      <w:lang w:val="es-MX" w:eastAsia="es-ES"/>
    </w:rPr>
  </w:style>
  <w:style w:type="paragraph" w:customStyle="1" w:styleId="leyes">
    <w:name w:val="leyes"/>
    <w:basedOn w:val="Normal"/>
    <w:uiPriority w:val="99"/>
    <w:rsid w:val="00F4051D"/>
    <w:pPr>
      <w:spacing w:before="240" w:after="240"/>
      <w:ind w:firstLine="720"/>
      <w:jc w:val="both"/>
    </w:pPr>
    <w:rPr>
      <w:rFonts w:eastAsia="Times New Roman"/>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051D"/>
    <w:pPr>
      <w:autoSpaceDE w:val="0"/>
      <w:autoSpaceDN w:val="0"/>
      <w:adjustRightInd w:val="0"/>
      <w:spacing w:after="0" w:line="240" w:lineRule="auto"/>
    </w:pPr>
    <w:rPr>
      <w:rFonts w:ascii="Arial" w:eastAsiaTheme="minorEastAsia" w:hAnsi="Arial" w:cs="Arial"/>
      <w:color w:val="000000"/>
      <w:sz w:val="24"/>
      <w:szCs w:val="24"/>
      <w:lang w:val="es-MX" w:eastAsia="es-MX"/>
    </w:rPr>
  </w:style>
  <w:style w:type="character" w:customStyle="1" w:styleId="Cuerpodeltexto">
    <w:name w:val="Cuerpo del texto_"/>
    <w:basedOn w:val="Fuentedeprrafopredeter"/>
    <w:link w:val="Cuerpodeltexto0"/>
    <w:rsid w:val="00F4051D"/>
    <w:rPr>
      <w:rFonts w:ascii="Arial" w:eastAsia="Arial" w:hAnsi="Arial" w:cs="Arial"/>
      <w:sz w:val="20"/>
      <w:szCs w:val="20"/>
      <w:shd w:val="clear" w:color="auto" w:fill="FFFFFF"/>
    </w:rPr>
  </w:style>
  <w:style w:type="character" w:customStyle="1" w:styleId="CuerpodeltextoEspaciado3pto">
    <w:name w:val="Cuerpo del texto + Espaciado 3 pto"/>
    <w:basedOn w:val="Cuerpodeltexto"/>
    <w:rsid w:val="00F4051D"/>
    <w:rPr>
      <w:rFonts w:ascii="Arial" w:eastAsia="Arial" w:hAnsi="Arial" w:cs="Arial"/>
      <w:spacing w:val="60"/>
      <w:sz w:val="20"/>
      <w:szCs w:val="20"/>
      <w:shd w:val="clear" w:color="auto" w:fill="FFFFFF"/>
    </w:rPr>
  </w:style>
  <w:style w:type="character" w:customStyle="1" w:styleId="Cuerpodeltexto9pto">
    <w:name w:val="Cuerpo del texto + 9 pto"/>
    <w:basedOn w:val="Cuerpodeltexto"/>
    <w:rsid w:val="00F4051D"/>
    <w:rPr>
      <w:rFonts w:ascii="Arial" w:eastAsia="Arial" w:hAnsi="Arial" w:cs="Arial"/>
      <w:sz w:val="18"/>
      <w:szCs w:val="18"/>
      <w:shd w:val="clear" w:color="auto" w:fill="FFFFFF"/>
    </w:rPr>
  </w:style>
  <w:style w:type="character" w:customStyle="1" w:styleId="Cuerpodeltexto1610pto">
    <w:name w:val="Cuerpo del texto (16) + 10 pto"/>
    <w:aliases w:val="Cursiva"/>
    <w:basedOn w:val="Fuentedeprrafopredeter"/>
    <w:rsid w:val="00F4051D"/>
    <w:rPr>
      <w:rFonts w:ascii="Arial" w:eastAsia="Arial" w:hAnsi="Arial" w:cs="Arial"/>
      <w:b w:val="0"/>
      <w:bCs w:val="0"/>
      <w:i w:val="0"/>
      <w:iCs w:val="0"/>
      <w:smallCaps w:val="0"/>
      <w:strike w:val="0"/>
      <w:spacing w:val="0"/>
      <w:sz w:val="20"/>
      <w:szCs w:val="20"/>
    </w:rPr>
  </w:style>
  <w:style w:type="character" w:customStyle="1" w:styleId="Cuerpodeltexto16">
    <w:name w:val="Cuerpo del texto (16)"/>
    <w:basedOn w:val="Fuentedeprrafopredeter"/>
    <w:rsid w:val="00F4051D"/>
    <w:rPr>
      <w:rFonts w:ascii="Arial" w:eastAsia="Arial" w:hAnsi="Arial" w:cs="Arial"/>
      <w:b w:val="0"/>
      <w:bCs w:val="0"/>
      <w:i w:val="0"/>
      <w:iCs w:val="0"/>
      <w:smallCaps w:val="0"/>
      <w:strike w:val="0"/>
      <w:spacing w:val="0"/>
      <w:sz w:val="21"/>
      <w:szCs w:val="21"/>
      <w:u w:val="single"/>
    </w:rPr>
  </w:style>
  <w:style w:type="paragraph" w:customStyle="1" w:styleId="Cuerpodeltexto0">
    <w:name w:val="Cuerpo del texto"/>
    <w:basedOn w:val="Normal"/>
    <w:link w:val="Cuerpodeltexto"/>
    <w:rsid w:val="00F4051D"/>
    <w:pPr>
      <w:shd w:val="clear" w:color="auto" w:fill="FFFFFF"/>
      <w:spacing w:line="241" w:lineRule="exact"/>
      <w:ind w:hanging="680"/>
    </w:pPr>
    <w:rPr>
      <w:rFonts w:ascii="Arial" w:eastAsia="Arial" w:hAnsi="Arial" w:cs="Arial"/>
      <w:sz w:val="20"/>
      <w:szCs w:val="20"/>
      <w:lang w:val="en-US" w:eastAsia="en-US"/>
    </w:rPr>
  </w:style>
  <w:style w:type="character" w:customStyle="1" w:styleId="Cuerpodeltexto2">
    <w:name w:val="Cuerpo del texto (2)_"/>
    <w:basedOn w:val="Fuentedeprrafopredeter"/>
    <w:link w:val="Cuerpodeltexto20"/>
    <w:rsid w:val="00F4051D"/>
    <w:rPr>
      <w:rFonts w:ascii="Arial" w:eastAsia="Arial" w:hAnsi="Arial" w:cs="Arial"/>
      <w:sz w:val="18"/>
      <w:szCs w:val="18"/>
      <w:shd w:val="clear" w:color="auto" w:fill="FFFFFF"/>
    </w:rPr>
  </w:style>
  <w:style w:type="paragraph" w:customStyle="1" w:styleId="Cuerpodeltexto20">
    <w:name w:val="Cuerpo del texto (2)"/>
    <w:basedOn w:val="Normal"/>
    <w:link w:val="Cuerpodeltexto2"/>
    <w:rsid w:val="00F4051D"/>
    <w:pPr>
      <w:shd w:val="clear" w:color="auto" w:fill="FFFFFF"/>
      <w:spacing w:line="331" w:lineRule="exact"/>
      <w:jc w:val="right"/>
    </w:pPr>
    <w:rPr>
      <w:rFonts w:ascii="Arial" w:eastAsia="Arial" w:hAnsi="Arial" w:cs="Arial"/>
      <w:sz w:val="18"/>
      <w:szCs w:val="18"/>
      <w:lang w:val="en-US" w:eastAsia="en-US"/>
    </w:rPr>
  </w:style>
  <w:style w:type="character" w:customStyle="1" w:styleId="TtuloCar">
    <w:name w:val="Título Car"/>
    <w:link w:val="Ttulo"/>
    <w:rsid w:val="00F4051D"/>
    <w:rPr>
      <w:rFonts w:ascii="Times New Roman" w:eastAsia="Times New Roman" w:hAnsi="Times New Roman"/>
      <w:b/>
      <w:sz w:val="28"/>
    </w:rPr>
  </w:style>
  <w:style w:type="paragraph" w:styleId="Ttulo">
    <w:name w:val="Title"/>
    <w:basedOn w:val="Normal"/>
    <w:link w:val="TtuloCar"/>
    <w:qFormat/>
    <w:rsid w:val="00F4051D"/>
    <w:pPr>
      <w:jc w:val="center"/>
    </w:pPr>
    <w:rPr>
      <w:rFonts w:eastAsia="Times New Roman" w:cstheme="minorBidi"/>
      <w:b/>
      <w:sz w:val="28"/>
      <w:szCs w:val="22"/>
      <w:lang w:val="en-US" w:eastAsia="en-US"/>
    </w:rPr>
  </w:style>
  <w:style w:type="character" w:customStyle="1" w:styleId="TtuloCar1">
    <w:name w:val="Título Car1"/>
    <w:basedOn w:val="Fuentedeprrafopredeter"/>
    <w:uiPriority w:val="10"/>
    <w:rsid w:val="00F4051D"/>
    <w:rPr>
      <w:rFonts w:asciiTheme="majorHAnsi" w:eastAsiaTheme="majorEastAsia" w:hAnsiTheme="majorHAnsi" w:cstheme="majorBidi"/>
      <w:color w:val="4C4635" w:themeColor="text2" w:themeShade="BF"/>
      <w:spacing w:val="5"/>
      <w:kern w:val="28"/>
      <w:sz w:val="52"/>
      <w:szCs w:val="52"/>
      <w:lang w:val="es-MX" w:eastAsia="es-ES"/>
    </w:rPr>
  </w:style>
  <w:style w:type="paragraph" w:customStyle="1" w:styleId="leyes">
    <w:name w:val="leyes"/>
    <w:basedOn w:val="Normal"/>
    <w:uiPriority w:val="99"/>
    <w:rsid w:val="00F4051D"/>
    <w:pPr>
      <w:spacing w:before="240" w:after="240"/>
      <w:ind w:firstLine="720"/>
      <w:jc w:val="both"/>
    </w:pPr>
    <w:rPr>
      <w:rFonts w:eastAsia="Times New Roman"/>
      <w:szCs w:val="20"/>
      <w:lang w:val="es-ES_tradnl"/>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bc.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xico.justia.com/federales/constitucion-politica-de-los-estados-unidos-mexicanos/titulo-primero/capitulo-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889EB-45B1-4662-B304-F6E9246F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4653</Words>
  <Characters>25596</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8</cp:revision>
  <cp:lastPrinted>2018-07-10T21:10:00Z</cp:lastPrinted>
  <dcterms:created xsi:type="dcterms:W3CDTF">2018-07-10T20:13:00Z</dcterms:created>
  <dcterms:modified xsi:type="dcterms:W3CDTF">2018-07-10T21:36:00Z</dcterms:modified>
</cp:coreProperties>
</file>