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w:t>
      </w:r>
      <w:r w:rsidR="00045FF9">
        <w:rPr>
          <w:rFonts w:ascii="Lato" w:hAnsi="Lato" w:cs="Arial"/>
          <w:b/>
        </w:rPr>
        <w:t xml:space="preserve">cta relativa a la Sesión No. </w:t>
      </w:r>
      <w:r w:rsidR="00BD166C">
        <w:rPr>
          <w:rFonts w:ascii="Lato" w:hAnsi="Lato" w:cs="Arial"/>
          <w:b/>
        </w:rPr>
        <w:t>CT/SE/</w:t>
      </w:r>
      <w:r w:rsidR="00911D34">
        <w:rPr>
          <w:rFonts w:ascii="Lato" w:hAnsi="Lato" w:cs="Arial"/>
          <w:b/>
        </w:rPr>
        <w:t>28</w:t>
      </w:r>
      <w:r w:rsidRPr="007A2FA2">
        <w:rPr>
          <w:rFonts w:ascii="Lato" w:hAnsi="Lato" w:cs="Arial"/>
          <w:b/>
        </w:rPr>
        <w:t>/</w:t>
      </w:r>
      <w:r w:rsidR="00E72E24">
        <w:rPr>
          <w:rFonts w:ascii="Lato" w:hAnsi="Lato" w:cs="Arial"/>
          <w:b/>
        </w:rPr>
        <w:t>20</w:t>
      </w:r>
      <w:r w:rsidR="009E799C">
        <w:rPr>
          <w:rFonts w:ascii="Lato" w:hAnsi="Lato" w:cs="Arial"/>
          <w:b/>
        </w:rPr>
        <w:t>2</w:t>
      </w:r>
      <w:r w:rsidR="00CE2CC9">
        <w:rPr>
          <w:rFonts w:ascii="Lato" w:hAnsi="Lato" w:cs="Arial"/>
          <w:b/>
        </w:rPr>
        <w:t>1</w:t>
      </w:r>
    </w:p>
    <w:p w:rsidR="00DF76A5" w:rsidRPr="00F50228" w:rsidRDefault="00DF76A5" w:rsidP="00F50228">
      <w:pPr>
        <w:spacing w:line="360" w:lineRule="auto"/>
        <w:jc w:val="both"/>
        <w:rPr>
          <w:rFonts w:ascii="Lato" w:hAnsi="Lato" w:cs="Arial"/>
        </w:rPr>
      </w:pPr>
    </w:p>
    <w:p w:rsidR="006C41DA" w:rsidRDefault="006C41DA" w:rsidP="00D8738B">
      <w:pPr>
        <w:spacing w:line="360" w:lineRule="auto"/>
        <w:jc w:val="both"/>
        <w:rPr>
          <w:rFonts w:ascii="Lato" w:hAnsi="Lato" w:cs="Arial"/>
        </w:rPr>
      </w:pPr>
      <w:r w:rsidRPr="006C41DA">
        <w:rPr>
          <w:rFonts w:ascii="Lato" w:hAnsi="Lato" w:cs="Arial"/>
        </w:rPr>
        <w:t xml:space="preserve">En Mexicali, Baja California, siendo las trece horas del día </w:t>
      </w:r>
      <w:r w:rsidR="00045FF9">
        <w:rPr>
          <w:rFonts w:ascii="Lato" w:hAnsi="Lato" w:cs="Arial"/>
        </w:rPr>
        <w:t>veintis</w:t>
      </w:r>
      <w:r w:rsidR="00911D34">
        <w:rPr>
          <w:rFonts w:ascii="Lato" w:hAnsi="Lato" w:cs="Arial"/>
        </w:rPr>
        <w:t>iete</w:t>
      </w:r>
      <w:r w:rsidR="00045FF9">
        <w:rPr>
          <w:rFonts w:ascii="Lato" w:hAnsi="Lato" w:cs="Arial"/>
        </w:rPr>
        <w:t xml:space="preserve"> de abril de </w:t>
      </w:r>
      <w:r w:rsidRPr="006C41DA">
        <w:rPr>
          <w:rFonts w:ascii="Lato" w:hAnsi="Lato" w:cs="Arial"/>
        </w:rPr>
        <w:t xml:space="preserve">dos mil </w:t>
      </w:r>
      <w:r w:rsidR="00045FF9">
        <w:rPr>
          <w:rFonts w:ascii="Lato" w:hAnsi="Lato" w:cs="Arial"/>
        </w:rPr>
        <w:t>veintiuno</w:t>
      </w:r>
      <w:r w:rsidRPr="006C41DA">
        <w:rPr>
          <w:rFonts w:ascii="Lato" w:hAnsi="Lato" w:cs="Arial"/>
        </w:rPr>
        <w:t xml:space="preser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Presidente del Tribunal Superior de Justicia y del Consejo de la Judicatura</w:t>
      </w:r>
      <w:r w:rsidR="009E799C">
        <w:rPr>
          <w:rFonts w:ascii="Lato" w:hAnsi="Lato" w:cs="Arial"/>
        </w:rPr>
        <w:t>,</w:t>
      </w:r>
      <w:r w:rsidRPr="006C41DA">
        <w:rPr>
          <w:rFonts w:ascii="Lato" w:hAnsi="Lato" w:cs="Arial"/>
        </w:rPr>
        <w:t xml:space="preserve"> </w:t>
      </w:r>
      <w:r w:rsidR="009E799C" w:rsidRPr="006C41DA">
        <w:rPr>
          <w:rFonts w:ascii="Lato" w:hAnsi="Lato" w:cs="Arial"/>
        </w:rPr>
        <w:t xml:space="preserve">Magistrado </w:t>
      </w:r>
      <w:r w:rsidRPr="006C41DA">
        <w:rPr>
          <w:rFonts w:ascii="Lato" w:hAnsi="Lato" w:cs="Arial"/>
        </w:rPr>
        <w:t xml:space="preserve">Alejandro Isaac Fragozo López, el </w:t>
      </w:r>
      <w:r w:rsidR="00883E6E">
        <w:rPr>
          <w:rFonts w:ascii="Lato" w:hAnsi="Lato" w:cs="Arial"/>
        </w:rPr>
        <w:t xml:space="preserve">Magistrado Nelson Alonso Kim Salas, el </w:t>
      </w:r>
      <w:r w:rsidRPr="006C41DA">
        <w:rPr>
          <w:rFonts w:ascii="Lato" w:hAnsi="Lato" w:cs="Arial"/>
        </w:rPr>
        <w:t xml:space="preserve">Consejero </w:t>
      </w:r>
      <w:r w:rsidR="009E799C">
        <w:rPr>
          <w:rFonts w:ascii="Lato" w:hAnsi="Lato" w:cs="Arial"/>
        </w:rPr>
        <w:t xml:space="preserve">de la Judicatura, Licenciado </w:t>
      </w:r>
      <w:r w:rsidRPr="006C41DA">
        <w:rPr>
          <w:rFonts w:ascii="Lato" w:hAnsi="Lato" w:cs="Arial"/>
        </w:rPr>
        <w:t>Francisco Javier Mercado Flores, la Oficial Mayor del Consejo de la Judicatura</w:t>
      </w:r>
      <w:r>
        <w:rPr>
          <w:rFonts w:ascii="Lato" w:hAnsi="Lato" w:cs="Arial"/>
        </w:rPr>
        <w:t>,</w:t>
      </w:r>
      <w:r w:rsidRPr="006C41DA">
        <w:rPr>
          <w:rFonts w:ascii="Lato" w:hAnsi="Lato" w:cs="Arial"/>
        </w:rPr>
        <w:t xml:space="preserve"> </w:t>
      </w:r>
      <w:r w:rsidRPr="00D8738B">
        <w:rPr>
          <w:rFonts w:ascii="Lato" w:hAnsi="Lato" w:cs="Arial"/>
        </w:rPr>
        <w:t xml:space="preserve">Contador Público </w:t>
      </w:r>
      <w:r w:rsidRPr="006C41DA">
        <w:rPr>
          <w:rFonts w:ascii="Lato" w:hAnsi="Lato" w:cs="Arial"/>
        </w:rPr>
        <w:t>Rosa</w:t>
      </w:r>
      <w:r w:rsidR="00883E6E">
        <w:rPr>
          <w:rFonts w:ascii="Lato" w:hAnsi="Lato" w:cs="Arial"/>
        </w:rPr>
        <w:t xml:space="preserve"> María Ibarra Osuna</w:t>
      </w:r>
      <w:r>
        <w:rPr>
          <w:rFonts w:ascii="Lato" w:hAnsi="Lato" w:cs="Arial"/>
        </w:rPr>
        <w:t xml:space="preserve">, </w:t>
      </w:r>
      <w:r w:rsidRPr="006C41DA">
        <w:rPr>
          <w:rFonts w:ascii="Lato" w:hAnsi="Lato" w:cs="Arial"/>
        </w:rPr>
        <w:t xml:space="preserve">el </w:t>
      </w:r>
      <w:r w:rsidR="00883E6E">
        <w:rPr>
          <w:rFonts w:ascii="Lato" w:hAnsi="Lato" w:cs="Arial"/>
        </w:rPr>
        <w:t xml:space="preserve">Encargado de Despacho de la </w:t>
      </w:r>
      <w:r w:rsidRPr="006C41DA">
        <w:rPr>
          <w:rFonts w:ascii="Lato" w:hAnsi="Lato" w:cs="Arial"/>
        </w:rPr>
        <w:t>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w:t>
      </w:r>
      <w:r w:rsidR="00883E6E">
        <w:rPr>
          <w:rFonts w:ascii="Lato" w:hAnsi="Lato" w:cs="Arial"/>
        </w:rPr>
        <w:t xml:space="preserve">Santiago Romero Osorio </w:t>
      </w:r>
      <w:r w:rsidRPr="006C41DA">
        <w:rPr>
          <w:rFonts w:ascii="Lato" w:hAnsi="Lato" w:cs="Arial"/>
        </w:rPr>
        <w:t xml:space="preserve">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 xml:space="preserve">del Comité, para celebrar la sesión extraordinaria </w:t>
      </w:r>
      <w:r w:rsidR="00045FF9">
        <w:rPr>
          <w:rFonts w:ascii="Lato" w:hAnsi="Lato" w:cs="Arial"/>
        </w:rPr>
        <w:t>CT/SE/</w:t>
      </w:r>
      <w:r w:rsidR="00911D34">
        <w:rPr>
          <w:rFonts w:ascii="Lato" w:hAnsi="Lato" w:cs="Arial"/>
        </w:rPr>
        <w:t>28</w:t>
      </w:r>
      <w:r w:rsidR="00045FF9">
        <w:rPr>
          <w:rFonts w:ascii="Lato" w:hAnsi="Lato" w:cs="Arial"/>
        </w:rPr>
        <w:t>/2021</w:t>
      </w:r>
      <w:r w:rsidRPr="006C41DA">
        <w:rPr>
          <w:rFonts w:ascii="Lato" w:hAnsi="Lato" w:cs="Arial"/>
        </w:rPr>
        <w:t>.</w:t>
      </w:r>
    </w:p>
    <w:p w:rsidR="00D8738B" w:rsidRDefault="00D8738B" w:rsidP="00D8738B">
      <w:pPr>
        <w:spacing w:line="360" w:lineRule="auto"/>
        <w:jc w:val="both"/>
        <w:rPr>
          <w:rFonts w:ascii="Lato" w:hAnsi="Lato" w:cs="Arial"/>
        </w:rPr>
      </w:pPr>
    </w:p>
    <w:p w:rsidR="00883E6E" w:rsidRDefault="00883E6E" w:rsidP="00883E6E">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8738B" w:rsidRPr="00D8738B" w:rsidRDefault="00D8738B" w:rsidP="00D8738B">
      <w:pPr>
        <w:spacing w:line="360" w:lineRule="auto"/>
        <w:jc w:val="both"/>
        <w:rPr>
          <w:rFonts w:ascii="Lato" w:hAnsi="Lato" w:cs="Arial"/>
        </w:rPr>
      </w:pPr>
    </w:p>
    <w:p w:rsidR="00D8738B" w:rsidRPr="00D8738B" w:rsidRDefault="00D8738B" w:rsidP="00D8738B">
      <w:pPr>
        <w:spacing w:line="360" w:lineRule="auto"/>
        <w:jc w:val="center"/>
        <w:rPr>
          <w:rFonts w:ascii="Lato" w:hAnsi="Lato" w:cs="Arial"/>
        </w:rPr>
      </w:pPr>
      <w:r w:rsidRPr="00D8738B">
        <w:rPr>
          <w:rFonts w:ascii="Lato" w:hAnsi="Lato" w:cs="Arial"/>
        </w:rPr>
        <w:t>ORDEN DEL DÍA</w:t>
      </w:r>
    </w:p>
    <w:p w:rsidR="00D8738B" w:rsidRPr="00D8738B" w:rsidRDefault="00D8738B" w:rsidP="00D8738B">
      <w:pPr>
        <w:ind w:right="-279"/>
        <w:jc w:val="center"/>
        <w:rPr>
          <w:rFonts w:ascii="Lato" w:hAnsi="Lato" w:cs="Arial"/>
          <w:b/>
          <w:szCs w:val="28"/>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6C41DA" w:rsidRDefault="006C41DA" w:rsidP="00E14CAC">
      <w:pPr>
        <w:spacing w:before="60" w:line="348" w:lineRule="auto"/>
        <w:jc w:val="both"/>
        <w:rPr>
          <w:rFonts w:ascii="Lato" w:hAnsi="Lato" w:cs="Arial"/>
          <w:sz w:val="28"/>
          <w:szCs w:val="28"/>
        </w:rPr>
      </w:pPr>
      <w:r w:rsidRPr="006C41DA">
        <w:rPr>
          <w:rFonts w:ascii="Lato" w:hAnsi="Lato" w:cs="Arial"/>
          <w:b/>
        </w:rPr>
        <w:lastRenderedPageBreak/>
        <w:t>ÚNICO. Procedimiento de inexistencia de la información 02/20</w:t>
      </w:r>
      <w:r w:rsidR="00883E6E">
        <w:rPr>
          <w:rFonts w:ascii="Lato" w:hAnsi="Lato" w:cs="Arial"/>
          <w:b/>
        </w:rPr>
        <w:t>21</w:t>
      </w:r>
      <w:r w:rsidRPr="006C41DA">
        <w:rPr>
          <w:rFonts w:ascii="Lato" w:hAnsi="Lato" w:cs="Arial"/>
        </w:rPr>
        <w:t xml:space="preserve">, </w:t>
      </w:r>
      <w:r w:rsidR="00883E6E">
        <w:rPr>
          <w:rFonts w:ascii="Lato" w:hAnsi="Lato" w:cs="Arial"/>
        </w:rPr>
        <w:t>derivad</w:t>
      </w:r>
      <w:r w:rsidR="009E799C">
        <w:rPr>
          <w:rFonts w:ascii="Lato" w:hAnsi="Lato" w:cs="Arial"/>
        </w:rPr>
        <w:t>o</w:t>
      </w:r>
      <w:r w:rsidR="00883E6E">
        <w:rPr>
          <w:rFonts w:ascii="Lato" w:hAnsi="Lato" w:cs="Arial"/>
        </w:rPr>
        <w:t xml:space="preserve"> de la declarada por la Titular del Juzgado Segundo Civil del Partido Judicial de Tijuana, Baja California, relativa a las solicitudes </w:t>
      </w:r>
      <w:r w:rsidRPr="006C41DA">
        <w:rPr>
          <w:rFonts w:ascii="Lato" w:hAnsi="Lato" w:cs="Arial"/>
        </w:rPr>
        <w:t>de acceso a la información 00</w:t>
      </w:r>
      <w:r w:rsidR="00883E6E">
        <w:rPr>
          <w:rFonts w:ascii="Lato" w:hAnsi="Lato" w:cs="Arial"/>
        </w:rPr>
        <w:t>385921</w:t>
      </w:r>
      <w:r w:rsidRPr="006C41DA">
        <w:rPr>
          <w:rFonts w:ascii="Lato" w:hAnsi="Lato" w:cs="Arial"/>
        </w:rPr>
        <w:t xml:space="preserve"> y 00</w:t>
      </w:r>
      <w:r w:rsidR="00883E6E">
        <w:rPr>
          <w:rFonts w:ascii="Lato" w:hAnsi="Lato" w:cs="Arial"/>
        </w:rPr>
        <w:t>386121</w:t>
      </w:r>
      <w:r w:rsidRPr="006C41DA">
        <w:rPr>
          <w:rFonts w:ascii="Lato" w:hAnsi="Lato" w:cs="Arial"/>
        </w:rPr>
        <w:t>, realizadas</w:t>
      </w:r>
      <w:r w:rsidR="00247B16">
        <w:rPr>
          <w:rFonts w:ascii="Lato" w:hAnsi="Lato" w:cs="Arial"/>
        </w:rPr>
        <w:t xml:space="preserve"> </w:t>
      </w:r>
      <w:r w:rsidRPr="006C41DA">
        <w:rPr>
          <w:rFonts w:ascii="Lato" w:hAnsi="Lato" w:cs="Arial"/>
        </w:rPr>
        <w:t>mediante la Plataforma Nacional de Transparencia</w:t>
      </w:r>
      <w:r w:rsidR="00883E6E">
        <w:rPr>
          <w:rFonts w:ascii="Lato" w:hAnsi="Lato" w:cs="Arial"/>
        </w:rPr>
        <w:t xml:space="preserve"> el 14 de abril de 2021</w:t>
      </w:r>
      <w:r w:rsidRPr="006C41DA">
        <w:rPr>
          <w:rFonts w:ascii="Lato" w:hAnsi="Lato" w:cs="Arial"/>
        </w:rPr>
        <w:t>.</w:t>
      </w:r>
      <w:r w:rsidRPr="004F7A88">
        <w:rPr>
          <w:rFonts w:ascii="Lato" w:hAnsi="Lato" w:cs="Arial"/>
          <w:sz w:val="28"/>
          <w:szCs w:val="28"/>
        </w:rPr>
        <w:t xml:space="preserve"> </w:t>
      </w:r>
    </w:p>
    <w:p w:rsidR="00883E6E" w:rsidRDefault="00883E6E" w:rsidP="00E14CAC">
      <w:pPr>
        <w:spacing w:line="348" w:lineRule="auto"/>
        <w:jc w:val="both"/>
        <w:rPr>
          <w:rFonts w:ascii="Lato" w:hAnsi="Lato" w:cs="Arial"/>
          <w:b/>
        </w:rPr>
      </w:pPr>
    </w:p>
    <w:p w:rsidR="006C41DA" w:rsidRPr="006C41DA" w:rsidRDefault="006C41DA" w:rsidP="00E14CAC">
      <w:pPr>
        <w:spacing w:line="348" w:lineRule="auto"/>
        <w:jc w:val="both"/>
        <w:rPr>
          <w:rFonts w:ascii="Lato" w:hAnsi="Lato" w:cs="Arial"/>
          <w:b/>
        </w:rPr>
      </w:pPr>
      <w:r w:rsidRPr="006C41DA">
        <w:rPr>
          <w:rFonts w:ascii="Lato" w:hAnsi="Lato" w:cs="Arial"/>
          <w:b/>
        </w:rPr>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habrá de confirmarse la declaración de inexistencia emitida por la Juez Segundo Civil del Partido Judicial de</w:t>
      </w:r>
      <w:r w:rsidR="0021452A">
        <w:rPr>
          <w:rFonts w:ascii="Lato" w:hAnsi="Lato" w:cs="Arial"/>
          <w:b/>
        </w:rPr>
        <w:t xml:space="preserve"> Tijuana</w:t>
      </w:r>
      <w:r w:rsidRPr="006C41DA">
        <w:rPr>
          <w:rFonts w:ascii="Lato" w:hAnsi="Lato" w:cs="Arial"/>
          <w:b/>
        </w:rPr>
        <w:t xml:space="preserve">, Baja California, respecto al </w:t>
      </w:r>
      <w:r w:rsidR="004D4F59">
        <w:rPr>
          <w:rFonts w:ascii="Lato" w:hAnsi="Lato" w:cs="Arial"/>
          <w:b/>
        </w:rPr>
        <w:t xml:space="preserve">juicio </w:t>
      </w:r>
      <w:r w:rsidR="0021452A">
        <w:rPr>
          <w:rFonts w:ascii="Lato" w:hAnsi="Lato" w:cs="Arial"/>
          <w:b/>
        </w:rPr>
        <w:t>de Prescripción Positiva, promovido por Club Campestre de Tijuana, A.C., r</w:t>
      </w:r>
      <w:r w:rsidR="004D4F59">
        <w:rPr>
          <w:rFonts w:ascii="Lato" w:hAnsi="Lato" w:cs="Arial"/>
          <w:b/>
        </w:rPr>
        <w:t xml:space="preserve">adicado bajo el </w:t>
      </w:r>
      <w:r w:rsidR="0021452A">
        <w:rPr>
          <w:rFonts w:ascii="Lato" w:hAnsi="Lato" w:cs="Arial"/>
          <w:b/>
        </w:rPr>
        <w:t xml:space="preserve">número de </w:t>
      </w:r>
      <w:r w:rsidRPr="006C41DA">
        <w:rPr>
          <w:rFonts w:ascii="Lato" w:hAnsi="Lato" w:cs="Arial"/>
          <w:b/>
        </w:rPr>
        <w:t>expediente 7</w:t>
      </w:r>
      <w:r w:rsidR="0021452A">
        <w:rPr>
          <w:rFonts w:ascii="Lato" w:hAnsi="Lato" w:cs="Arial"/>
          <w:b/>
        </w:rPr>
        <w:t>64</w:t>
      </w:r>
      <w:r w:rsidRPr="006C41DA">
        <w:rPr>
          <w:rFonts w:ascii="Lato" w:hAnsi="Lato" w:cs="Arial"/>
          <w:b/>
        </w:rPr>
        <w:t>/196</w:t>
      </w:r>
      <w:r w:rsidR="0021452A">
        <w:rPr>
          <w:rFonts w:ascii="Lato" w:hAnsi="Lato" w:cs="Arial"/>
          <w:b/>
        </w:rPr>
        <w:t>9</w:t>
      </w:r>
      <w:r w:rsidR="004D4F59">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6C41DA" w:rsidRPr="009E799C" w:rsidRDefault="006C41DA" w:rsidP="00E14CAC">
      <w:pPr>
        <w:spacing w:line="348" w:lineRule="auto"/>
        <w:jc w:val="both"/>
        <w:rPr>
          <w:rFonts w:ascii="Lato" w:hAnsi="Lato" w:cs="Arial"/>
        </w:rPr>
      </w:pPr>
    </w:p>
    <w:p w:rsidR="006C41DA" w:rsidRPr="006C41DA" w:rsidRDefault="006C41DA" w:rsidP="00E14CAC">
      <w:pPr>
        <w:pStyle w:val="Prrafodelista"/>
        <w:numPr>
          <w:ilvl w:val="0"/>
          <w:numId w:val="3"/>
        </w:numPr>
        <w:spacing w:after="0" w:line="348" w:lineRule="auto"/>
        <w:jc w:val="both"/>
        <w:rPr>
          <w:rFonts w:ascii="Lato" w:hAnsi="Lato" w:cs="Arial"/>
          <w:b/>
          <w:sz w:val="24"/>
          <w:szCs w:val="24"/>
        </w:rPr>
      </w:pPr>
      <w:r w:rsidRPr="006C41DA">
        <w:rPr>
          <w:rFonts w:ascii="Lato" w:hAnsi="Lato" w:cs="Arial"/>
          <w:b/>
          <w:sz w:val="24"/>
          <w:szCs w:val="24"/>
        </w:rPr>
        <w:t xml:space="preserve">Como </w:t>
      </w:r>
      <w:r w:rsidR="009E799C">
        <w:rPr>
          <w:rFonts w:ascii="Lato" w:hAnsi="Lato" w:cs="Arial"/>
          <w:b/>
          <w:sz w:val="24"/>
          <w:szCs w:val="24"/>
        </w:rPr>
        <w:t>a</w:t>
      </w:r>
      <w:r w:rsidRPr="006C41DA">
        <w:rPr>
          <w:rFonts w:ascii="Lato" w:hAnsi="Lato" w:cs="Arial"/>
          <w:b/>
          <w:sz w:val="24"/>
          <w:szCs w:val="24"/>
        </w:rPr>
        <w:t>ntecedentes tenemos:</w:t>
      </w:r>
    </w:p>
    <w:p w:rsidR="0021452A" w:rsidRDefault="006C41DA" w:rsidP="00E14CAC">
      <w:pPr>
        <w:spacing w:line="348" w:lineRule="auto"/>
        <w:jc w:val="both"/>
        <w:rPr>
          <w:rFonts w:ascii="Lato" w:hAnsi="Lato" w:cs="Arial"/>
        </w:rPr>
      </w:pPr>
      <w:r w:rsidRPr="006C41DA">
        <w:rPr>
          <w:rFonts w:ascii="Lato" w:hAnsi="Lato" w:cs="Arial"/>
        </w:rPr>
        <w:t>1.1) El peticionario, mediante el registro de los folios 00</w:t>
      </w:r>
      <w:r w:rsidR="0021452A">
        <w:rPr>
          <w:rFonts w:ascii="Lato" w:hAnsi="Lato" w:cs="Arial"/>
        </w:rPr>
        <w:t>385921</w:t>
      </w:r>
      <w:r w:rsidRPr="006C41DA">
        <w:rPr>
          <w:rFonts w:ascii="Lato" w:hAnsi="Lato" w:cs="Arial"/>
        </w:rPr>
        <w:t xml:space="preserve"> y 00</w:t>
      </w:r>
      <w:r w:rsidR="0021452A">
        <w:rPr>
          <w:rFonts w:ascii="Lato" w:hAnsi="Lato" w:cs="Arial"/>
        </w:rPr>
        <w:t>386121</w:t>
      </w:r>
      <w:r w:rsidRPr="006C41DA">
        <w:rPr>
          <w:rFonts w:ascii="Lato" w:hAnsi="Lato" w:cs="Arial"/>
        </w:rPr>
        <w:t>,</w:t>
      </w:r>
      <w:r w:rsidR="00247B16">
        <w:rPr>
          <w:rFonts w:ascii="Lato" w:hAnsi="Lato" w:cs="Arial"/>
        </w:rPr>
        <w:t xml:space="preserve"> </w:t>
      </w:r>
      <w:r w:rsidRPr="006C41DA">
        <w:rPr>
          <w:rFonts w:ascii="Lato" w:hAnsi="Lato" w:cs="Arial"/>
        </w:rPr>
        <w:t>de la Plataforma Nacional de Transparencia, solicitó</w:t>
      </w:r>
      <w:r w:rsidR="004D4F59">
        <w:rPr>
          <w:rFonts w:ascii="Lato" w:hAnsi="Lato" w:cs="Arial"/>
        </w:rPr>
        <w:t xml:space="preserve"> c</w:t>
      </w:r>
      <w:r w:rsidRPr="004D4F59">
        <w:rPr>
          <w:rFonts w:ascii="Lato" w:hAnsi="Lato" w:cs="Arial"/>
        </w:rPr>
        <w:t xml:space="preserve">opia </w:t>
      </w:r>
      <w:r w:rsidR="0021452A">
        <w:rPr>
          <w:rFonts w:ascii="Lato" w:hAnsi="Lato" w:cs="Arial"/>
        </w:rPr>
        <w:t>íntegra de todo lo actuado en el expediente de su interés</w:t>
      </w:r>
      <w:r w:rsidR="00911D34">
        <w:rPr>
          <w:rFonts w:ascii="Lato" w:hAnsi="Lato" w:cs="Arial"/>
        </w:rPr>
        <w:t>,</w:t>
      </w:r>
      <w:r w:rsidR="0021452A">
        <w:rPr>
          <w:rFonts w:ascii="Lato" w:hAnsi="Lato" w:cs="Arial"/>
        </w:rPr>
        <w:t xml:space="preserve"> ante el Juzgado Segundo de Primera Instancia Civil del Partido Judicial de Tijuana, Baja California.</w:t>
      </w:r>
    </w:p>
    <w:p w:rsidR="0021452A" w:rsidRDefault="0021452A" w:rsidP="00E14CAC">
      <w:pPr>
        <w:spacing w:line="348" w:lineRule="auto"/>
        <w:jc w:val="both"/>
        <w:rPr>
          <w:rFonts w:ascii="Lato" w:hAnsi="Lato" w:cs="Arial"/>
        </w:rPr>
      </w:pPr>
      <w:r>
        <w:rPr>
          <w:rFonts w:ascii="Lato" w:hAnsi="Lato" w:cs="Arial"/>
        </w:rPr>
        <w:t xml:space="preserve"> </w:t>
      </w:r>
    </w:p>
    <w:p w:rsidR="00F214EB" w:rsidRDefault="006C41DA" w:rsidP="00E14CAC">
      <w:pPr>
        <w:spacing w:line="348" w:lineRule="auto"/>
        <w:jc w:val="both"/>
        <w:rPr>
          <w:rFonts w:ascii="Lato" w:hAnsi="Lato" w:cs="Arial"/>
        </w:rPr>
      </w:pPr>
      <w:r w:rsidRPr="006C41DA">
        <w:rPr>
          <w:rFonts w:ascii="Lato" w:hAnsi="Lato" w:cs="Arial"/>
        </w:rPr>
        <w:t xml:space="preserve">1.2) Mediante oficio </w:t>
      </w:r>
      <w:r w:rsidR="0021452A">
        <w:rPr>
          <w:rFonts w:ascii="Lato" w:hAnsi="Lato" w:cs="Arial"/>
        </w:rPr>
        <w:t>607</w:t>
      </w:r>
      <w:r w:rsidRPr="006C41DA">
        <w:rPr>
          <w:rFonts w:ascii="Lato" w:hAnsi="Lato" w:cs="Arial"/>
        </w:rPr>
        <w:t>/</w:t>
      </w:r>
      <w:r w:rsidR="00C80A76">
        <w:rPr>
          <w:rFonts w:ascii="Lato" w:hAnsi="Lato" w:cs="Arial"/>
        </w:rPr>
        <w:t>U</w:t>
      </w:r>
      <w:r w:rsidRPr="006C41DA">
        <w:rPr>
          <w:rFonts w:ascii="Lato" w:hAnsi="Lato" w:cs="Arial"/>
        </w:rPr>
        <w:t>T/MXL/20</w:t>
      </w:r>
      <w:r w:rsidR="0021452A">
        <w:rPr>
          <w:rFonts w:ascii="Lato" w:hAnsi="Lato" w:cs="Arial"/>
        </w:rPr>
        <w:t>21</w:t>
      </w:r>
      <w:r w:rsidRPr="006C41DA">
        <w:rPr>
          <w:rFonts w:ascii="Lato" w:hAnsi="Lato" w:cs="Arial"/>
        </w:rPr>
        <w:t xml:space="preserve">, la Unidad de </w:t>
      </w:r>
      <w:r w:rsidR="002C0210" w:rsidRPr="006C41DA">
        <w:rPr>
          <w:rFonts w:ascii="Lato" w:hAnsi="Lato" w:cs="Arial"/>
        </w:rPr>
        <w:t xml:space="preserve">Transparencia </w:t>
      </w:r>
      <w:r w:rsidRPr="006C41DA">
        <w:rPr>
          <w:rFonts w:ascii="Lato" w:hAnsi="Lato" w:cs="Arial"/>
        </w:rPr>
        <w:t xml:space="preserve">requirió de la información solicitada a </w:t>
      </w:r>
      <w:r w:rsidRPr="006C41DA">
        <w:rPr>
          <w:rFonts w:ascii="Lato" w:hAnsi="Lato" w:cs="Arial"/>
          <w:b/>
        </w:rPr>
        <w:t xml:space="preserve">la </w:t>
      </w:r>
      <w:r w:rsidR="0021452A">
        <w:rPr>
          <w:rFonts w:ascii="Lato" w:hAnsi="Lato" w:cs="Arial"/>
          <w:b/>
        </w:rPr>
        <w:t>autoridad jurisdiccional competente</w:t>
      </w:r>
      <w:r w:rsidRPr="006C41DA">
        <w:rPr>
          <w:rFonts w:ascii="Lato" w:hAnsi="Lato" w:cs="Arial"/>
        </w:rPr>
        <w:t xml:space="preserve">, quien por oficio número </w:t>
      </w:r>
      <w:r w:rsidR="00F214EB">
        <w:rPr>
          <w:rFonts w:ascii="Lato" w:hAnsi="Lato" w:cs="Arial"/>
        </w:rPr>
        <w:t>2755</w:t>
      </w:r>
      <w:r w:rsidRPr="006C41DA">
        <w:rPr>
          <w:rFonts w:ascii="Lato" w:hAnsi="Lato" w:cs="Arial"/>
        </w:rPr>
        <w:t>/20</w:t>
      </w:r>
      <w:r w:rsidR="00F214EB">
        <w:rPr>
          <w:rFonts w:ascii="Lato" w:hAnsi="Lato" w:cs="Arial"/>
        </w:rPr>
        <w:t>21</w:t>
      </w:r>
      <w:r w:rsidRPr="006C41DA">
        <w:rPr>
          <w:rFonts w:ascii="Lato" w:hAnsi="Lato" w:cs="Arial"/>
        </w:rPr>
        <w:t xml:space="preserve">, de fecha de recibido </w:t>
      </w:r>
      <w:r w:rsidR="00F214EB">
        <w:rPr>
          <w:rFonts w:ascii="Lato" w:hAnsi="Lato" w:cs="Arial"/>
        </w:rPr>
        <w:t>el 23 de este mes de abril</w:t>
      </w:r>
      <w:r w:rsidRPr="006C41DA">
        <w:rPr>
          <w:rFonts w:ascii="Lato" w:hAnsi="Lato" w:cs="Arial"/>
        </w:rPr>
        <w:t xml:space="preserve">, </w:t>
      </w:r>
      <w:r w:rsidR="00F214EB">
        <w:rPr>
          <w:rFonts w:ascii="Lato" w:hAnsi="Lato" w:cs="Arial"/>
        </w:rPr>
        <w:t>remitió copia del cuad</w:t>
      </w:r>
      <w:r w:rsidR="00911D34">
        <w:rPr>
          <w:rFonts w:ascii="Lato" w:hAnsi="Lato" w:cs="Arial"/>
        </w:rPr>
        <w:t>ernillo formado con motivo del o</w:t>
      </w:r>
      <w:r w:rsidR="00F214EB">
        <w:rPr>
          <w:rFonts w:ascii="Lato" w:hAnsi="Lato" w:cs="Arial"/>
        </w:rPr>
        <w:t>ficio 607</w:t>
      </w:r>
      <w:r w:rsidR="00F214EB" w:rsidRPr="006C41DA">
        <w:rPr>
          <w:rFonts w:ascii="Lato" w:hAnsi="Lato" w:cs="Arial"/>
        </w:rPr>
        <w:t>/</w:t>
      </w:r>
      <w:r w:rsidR="00F214EB">
        <w:rPr>
          <w:rFonts w:ascii="Lato" w:hAnsi="Lato" w:cs="Arial"/>
        </w:rPr>
        <w:t>U</w:t>
      </w:r>
      <w:r w:rsidR="00F214EB" w:rsidRPr="006C41DA">
        <w:rPr>
          <w:rFonts w:ascii="Lato" w:hAnsi="Lato" w:cs="Arial"/>
        </w:rPr>
        <w:t>T/MXL/20</w:t>
      </w:r>
      <w:r w:rsidR="00F214EB">
        <w:rPr>
          <w:rFonts w:ascii="Lato" w:hAnsi="Lato" w:cs="Arial"/>
        </w:rPr>
        <w:t xml:space="preserve">21 de </w:t>
      </w:r>
      <w:r w:rsidR="00F214EB" w:rsidRPr="006C41DA">
        <w:rPr>
          <w:rFonts w:ascii="Lato" w:hAnsi="Lato" w:cs="Arial"/>
        </w:rPr>
        <w:t>la Unidad de Transparencia</w:t>
      </w:r>
      <w:r w:rsidR="00F214EB">
        <w:rPr>
          <w:rFonts w:ascii="Lato" w:hAnsi="Lato" w:cs="Arial"/>
        </w:rPr>
        <w:t>, mencionado, manifestando que</w:t>
      </w:r>
      <w:r w:rsidR="009E799C">
        <w:rPr>
          <w:rFonts w:ascii="Lato" w:hAnsi="Lato" w:cs="Arial"/>
        </w:rPr>
        <w:t>:</w:t>
      </w:r>
      <w:r w:rsidR="00F214EB">
        <w:rPr>
          <w:rFonts w:ascii="Lato" w:hAnsi="Lato" w:cs="Arial"/>
        </w:rPr>
        <w:t xml:space="preserve"> </w:t>
      </w:r>
      <w:r w:rsidR="00C50243" w:rsidRPr="00911D34">
        <w:rPr>
          <w:rFonts w:ascii="Lato" w:hAnsi="Lato" w:cs="Arial"/>
          <w:i/>
        </w:rPr>
        <w:t>“</w:t>
      </w:r>
      <w:r w:rsidR="00F214EB" w:rsidRPr="00911D34">
        <w:rPr>
          <w:rFonts w:ascii="Lato" w:hAnsi="Lato" w:cs="Arial"/>
          <w:i/>
        </w:rPr>
        <w:t xml:space="preserve">(…) realizada una búsqueda exhaustiva por </w:t>
      </w:r>
      <w:r w:rsidR="00911D34">
        <w:rPr>
          <w:rFonts w:ascii="Lato" w:hAnsi="Lato" w:cs="Arial"/>
          <w:i/>
        </w:rPr>
        <w:t>el personal autorizado de este J</w:t>
      </w:r>
      <w:r w:rsidR="00F214EB" w:rsidRPr="00911D34">
        <w:rPr>
          <w:rFonts w:ascii="Lato" w:hAnsi="Lato" w:cs="Arial"/>
          <w:i/>
        </w:rPr>
        <w:t xml:space="preserve">uzgado, tanto en los lugares destinados para la custodia de expedientes, en el archivo de este Juzgado, en todas y cada una de las gavetas de oficialía de partes, en las Secretarías, área destinada a proyección y archiveros que se encuentran en los mismos, así como en el privado del Juez, los archiveros y anaqueles de este Órgano Jurisdiccional, así </w:t>
      </w:r>
      <w:r w:rsidR="00F214EB" w:rsidRPr="00911D34">
        <w:rPr>
          <w:rFonts w:ascii="Lato" w:hAnsi="Lato" w:cs="Arial"/>
          <w:i/>
        </w:rPr>
        <w:lastRenderedPageBreak/>
        <w:t>como las listas de los expedientes que se remiten al archivo Judicial, no se localizó el expediente 764/1969, asimismo y una vez localizado</w:t>
      </w:r>
      <w:r w:rsidR="00C50243" w:rsidRPr="00911D34">
        <w:rPr>
          <w:rFonts w:ascii="Lato" w:hAnsi="Lato" w:cs="Arial"/>
          <w:i/>
        </w:rPr>
        <w:t xml:space="preserve"> el Libro de Gobierno correspondiente al año de 1969, se hizo constar que el mismo se encuentra incompleto, toda vez que inicia con el número de expediente 71/1969, con fecha de registro 21 de enero de 1969 y concluye con el expediente número 281/1969 registrado en fecha 05 de marzo de 1969; por otra parte, al realizar una búsqueda del índice del año 1969, una vez realizada exhaustivamente la misma por el personal de este Juzgado, se hizo contar que el mismo no fue localizado (…)”</w:t>
      </w:r>
      <w:r w:rsidR="00C50243">
        <w:rPr>
          <w:rFonts w:ascii="Lato" w:hAnsi="Lato" w:cs="Arial"/>
        </w:rPr>
        <w:t xml:space="preserve">. Asimismo agregó que al recibir la respuesta mediante oficio 386/2021, </w:t>
      </w:r>
      <w:r w:rsidR="00C50243" w:rsidRPr="00911D34">
        <w:rPr>
          <w:rFonts w:ascii="Lato" w:hAnsi="Lato" w:cs="Arial"/>
          <w:b/>
        </w:rPr>
        <w:t xml:space="preserve">por parte del Coordinador del Archivo Judicial </w:t>
      </w:r>
      <w:r w:rsidR="00C50243">
        <w:rPr>
          <w:rFonts w:ascii="Lato" w:hAnsi="Lato" w:cs="Arial"/>
        </w:rPr>
        <w:t>de Tijuana, dicho servidor público</w:t>
      </w:r>
      <w:r w:rsidR="00C50243" w:rsidRPr="00911D34">
        <w:rPr>
          <w:rFonts w:ascii="Lato" w:hAnsi="Lato" w:cs="Arial"/>
          <w:b/>
        </w:rPr>
        <w:t xml:space="preserve"> informa que el expediente en cuestión, no se encuentra bajo su custodia en el Archivo Judicial General, en virtud de que se dañó en su totalidad </w:t>
      </w:r>
      <w:r w:rsidR="00C50243">
        <w:rPr>
          <w:rFonts w:ascii="Lato" w:hAnsi="Lato" w:cs="Arial"/>
        </w:rPr>
        <w:t>a consecuencia del siniestro que sufrió el inmueble</w:t>
      </w:r>
      <w:r w:rsidR="0033553B">
        <w:rPr>
          <w:rFonts w:ascii="Lato" w:hAnsi="Lato" w:cs="Arial"/>
        </w:rPr>
        <w:t xml:space="preserve"> que se utilizaba para tales fines en las lluvias que azotaron a la ciudad en el mes de enero de 1993.</w:t>
      </w:r>
    </w:p>
    <w:p w:rsidR="0033553B" w:rsidRDefault="0033553B" w:rsidP="00E14CAC">
      <w:pPr>
        <w:spacing w:before="60" w:line="348" w:lineRule="auto"/>
        <w:jc w:val="both"/>
        <w:rPr>
          <w:rFonts w:ascii="Lato" w:hAnsi="Lato" w:cs="Arial"/>
        </w:rPr>
      </w:pPr>
    </w:p>
    <w:p w:rsidR="006C41DA" w:rsidRPr="006C41DA" w:rsidRDefault="006C41DA" w:rsidP="00E14CAC">
      <w:pPr>
        <w:spacing w:line="348" w:lineRule="auto"/>
        <w:jc w:val="both"/>
        <w:rPr>
          <w:rFonts w:ascii="Lato" w:hAnsi="Lato" w:cs="Arial"/>
          <w:u w:val="single"/>
        </w:rPr>
      </w:pPr>
      <w:r>
        <w:rPr>
          <w:rFonts w:ascii="Lato" w:hAnsi="Lato" w:cs="Arial"/>
        </w:rPr>
        <w:t xml:space="preserve">2) </w:t>
      </w:r>
      <w:r w:rsidRPr="006C41DA">
        <w:rPr>
          <w:rFonts w:ascii="Lato" w:hAnsi="Lato" w:cs="Arial"/>
        </w:rPr>
        <w:t>En virtud de lo anterior, los integrantes de este Comité,</w:t>
      </w:r>
      <w:r w:rsidRPr="006C41DA">
        <w:rPr>
          <w:rFonts w:ascii="Lato" w:hAnsi="Lato" w:cs="Arial"/>
          <w:b/>
        </w:rPr>
        <w:t xml:space="preserve"> con la función conferida </w:t>
      </w:r>
      <w:r w:rsidRPr="006C41DA">
        <w:rPr>
          <w:rFonts w:ascii="Lato" w:hAnsi="Lato" w:cs="Arial"/>
        </w:rPr>
        <w:t>a este organismo</w:t>
      </w:r>
      <w:r w:rsidRPr="006C41DA">
        <w:rPr>
          <w:rFonts w:ascii="Lato" w:hAnsi="Lato" w:cs="Arial"/>
          <w:b/>
        </w:rPr>
        <w:t xml:space="preserve"> en la fracción II del artículo 54</w:t>
      </w:r>
      <w:r w:rsidRPr="006C41DA">
        <w:rPr>
          <w:rFonts w:ascii="Lato" w:hAnsi="Lato" w:cs="Arial"/>
        </w:rPr>
        <w:t xml:space="preserve"> de la Ley de Transparencia y Acceso a la Información Pública para el Estado de Baja California, que dice: </w:t>
      </w:r>
      <w:r w:rsidRPr="006C41DA">
        <w:rPr>
          <w:rFonts w:ascii="Lato" w:hAnsi="Lato" w:cs="Arial"/>
          <w:b/>
          <w:i/>
        </w:rPr>
        <w:t>“II.- Confirmar, modificar o revocar las determinaciones</w:t>
      </w:r>
      <w:r w:rsidRPr="006C41DA">
        <w:rPr>
          <w:rFonts w:ascii="Lato" w:hAnsi="Lato" w:cs="Arial"/>
          <w:i/>
        </w:rPr>
        <w:t xml:space="preserve"> que en materia de ampliación del plazo de respuesta, clasificación de la información</w:t>
      </w:r>
      <w:r w:rsidRPr="006C41DA">
        <w:rPr>
          <w:rFonts w:ascii="Lato" w:hAnsi="Lato" w:cs="Arial"/>
          <w:b/>
          <w:i/>
        </w:rPr>
        <w:t xml:space="preserve"> </w:t>
      </w:r>
      <w:r w:rsidRPr="00911D34">
        <w:rPr>
          <w:rFonts w:ascii="Lato" w:hAnsi="Lato" w:cs="Arial"/>
          <w:i/>
        </w:rPr>
        <w:t>y la</w:t>
      </w:r>
      <w:r w:rsidRPr="006C41DA">
        <w:rPr>
          <w:rFonts w:ascii="Lato" w:hAnsi="Lato" w:cs="Arial"/>
          <w:b/>
          <w:i/>
        </w:rPr>
        <w:t xml:space="preserve"> declaración de inexistencia</w:t>
      </w:r>
      <w:r w:rsidRPr="006C41DA">
        <w:rPr>
          <w:rFonts w:ascii="Lato" w:hAnsi="Lato" w:cs="Arial"/>
          <w:i/>
        </w:rPr>
        <w:t xml:space="preserve"> o de incompetencia realicen los titulares de las Áreas de los sujetos obligados”, </w:t>
      </w:r>
      <w:r w:rsidRPr="006C41DA">
        <w:rPr>
          <w:rFonts w:ascii="Lato" w:hAnsi="Lato" w:cs="Arial"/>
        </w:rPr>
        <w:t xml:space="preserve">y fundado también en las fracciones I y II del artículo 131 y en el diverso precepto normativo 132 de la Ley de la materia que señalan que cuando la información no se encuentre en los archivos del sujeto obligado, previo análisis del caso, el Comité expedirá una resolución que confirme la inexistencia del documento, por lo cual </w:t>
      </w:r>
      <w:r w:rsidRPr="006C41DA">
        <w:rPr>
          <w:rFonts w:ascii="Lato" w:hAnsi="Lato" w:cs="Arial"/>
          <w:u w:val="single"/>
        </w:rPr>
        <w:t>se procede al análisis del</w:t>
      </w:r>
      <w:r w:rsidRPr="00247B16">
        <w:rPr>
          <w:rFonts w:ascii="Lato" w:hAnsi="Lato" w:cs="Arial"/>
          <w:u w:val="single"/>
        </w:rPr>
        <w:t xml:space="preserve"> </w:t>
      </w:r>
      <w:r w:rsidRPr="006C41DA">
        <w:rPr>
          <w:rFonts w:ascii="Lato" w:hAnsi="Lato" w:cs="Arial"/>
          <w:u w:val="single"/>
        </w:rPr>
        <w:t xml:space="preserve">acto que declara </w:t>
      </w:r>
      <w:r w:rsidR="00966533">
        <w:rPr>
          <w:rFonts w:ascii="Lato" w:hAnsi="Lato" w:cs="Arial"/>
          <w:u w:val="single"/>
        </w:rPr>
        <w:t xml:space="preserve">la no localización de </w:t>
      </w:r>
      <w:r w:rsidRPr="006C41DA">
        <w:rPr>
          <w:rFonts w:ascii="Lato" w:hAnsi="Lato" w:cs="Arial"/>
          <w:u w:val="single"/>
        </w:rPr>
        <w:t>la información de interés del solicitante</w:t>
      </w:r>
      <w:r w:rsidRPr="00966533">
        <w:rPr>
          <w:rFonts w:ascii="Lato" w:hAnsi="Lato" w:cs="Arial"/>
          <w:u w:val="single"/>
        </w:rPr>
        <w:t xml:space="preserve">, </w:t>
      </w:r>
      <w:r w:rsidR="00966533" w:rsidRPr="00966533">
        <w:rPr>
          <w:rFonts w:ascii="Lato" w:hAnsi="Lato" w:cs="Arial"/>
          <w:u w:val="single"/>
        </w:rPr>
        <w:t xml:space="preserve"> lo que equivale</w:t>
      </w:r>
      <w:r w:rsidR="00966533">
        <w:rPr>
          <w:rFonts w:ascii="Lato" w:hAnsi="Lato" w:cs="Arial"/>
          <w:u w:val="single"/>
        </w:rPr>
        <w:t xml:space="preserve"> a una declaración de inexistencia </w:t>
      </w:r>
      <w:r w:rsidR="00966533" w:rsidRPr="00966533">
        <w:rPr>
          <w:rFonts w:ascii="Lato" w:hAnsi="Lato" w:cs="Arial"/>
        </w:rPr>
        <w:t xml:space="preserve">de la información requerida, </w:t>
      </w:r>
      <w:r w:rsidRPr="00966533">
        <w:rPr>
          <w:rFonts w:ascii="Lato" w:hAnsi="Lato" w:cs="Arial"/>
        </w:rPr>
        <w:t>r</w:t>
      </w:r>
      <w:r w:rsidRPr="006C41DA">
        <w:rPr>
          <w:rFonts w:ascii="Lato" w:hAnsi="Lato" w:cs="Arial"/>
        </w:rPr>
        <w:t>eal</w:t>
      </w:r>
      <w:r w:rsidR="00966533">
        <w:rPr>
          <w:rFonts w:ascii="Lato" w:hAnsi="Lato" w:cs="Arial"/>
        </w:rPr>
        <w:t>izada por la Jueza Segundo Civil con carácter Provisional de</w:t>
      </w:r>
      <w:r w:rsidR="00507B04">
        <w:rPr>
          <w:rFonts w:ascii="Lato" w:hAnsi="Lato" w:cs="Arial"/>
        </w:rPr>
        <w:t>l Partido Judicial de</w:t>
      </w:r>
      <w:r w:rsidR="00966533">
        <w:rPr>
          <w:rFonts w:ascii="Lato" w:hAnsi="Lato" w:cs="Arial"/>
        </w:rPr>
        <w:t xml:space="preserve"> Tijuana,</w:t>
      </w:r>
      <w:r w:rsidRPr="006C41DA">
        <w:rPr>
          <w:rFonts w:ascii="Lato" w:hAnsi="Lato" w:cs="Arial"/>
        </w:rPr>
        <w:t xml:space="preserve"> atendiendo también a lo establecido por el artículo 155 del Reglamento de la Ley de Transparencia y Acceso a la Información Pública para el Estado de Baja California, por tratarse de una solicitud en la que</w:t>
      </w:r>
      <w:r w:rsidR="00247B16">
        <w:rPr>
          <w:rFonts w:ascii="Lato" w:hAnsi="Lato" w:cs="Arial"/>
        </w:rPr>
        <w:t xml:space="preserve"> </w:t>
      </w:r>
      <w:r w:rsidRPr="006C41DA">
        <w:rPr>
          <w:rFonts w:ascii="Lato" w:hAnsi="Lato" w:cs="Arial"/>
        </w:rPr>
        <w:t xml:space="preserve">no se encontró la información requerida. </w:t>
      </w:r>
      <w:r w:rsidR="00247B16" w:rsidRPr="006C41DA">
        <w:rPr>
          <w:rFonts w:ascii="Lato" w:hAnsi="Lato" w:cs="Arial"/>
        </w:rPr>
        <w:t>Así</w:t>
      </w:r>
      <w:r w:rsidRPr="006C41DA">
        <w:rPr>
          <w:rFonts w:ascii="Lato" w:hAnsi="Lato" w:cs="Arial"/>
        </w:rPr>
        <w:t xml:space="preserve"> las cosas, hecho </w:t>
      </w:r>
      <w:r w:rsidR="00911D34">
        <w:rPr>
          <w:rFonts w:ascii="Lato" w:hAnsi="Lato" w:cs="Arial"/>
        </w:rPr>
        <w:t>el estudio correspondiente,</w:t>
      </w:r>
      <w:r w:rsidRPr="006C41DA">
        <w:rPr>
          <w:rFonts w:ascii="Lato" w:hAnsi="Lato" w:cs="Arial"/>
          <w:b/>
        </w:rPr>
        <w:t xml:space="preserve"> se determina que es de confirmar la declaración de inexistencia del expediente número </w:t>
      </w:r>
      <w:r w:rsidR="00507B04">
        <w:rPr>
          <w:rFonts w:ascii="Lato" w:hAnsi="Lato" w:cs="Arial"/>
          <w:b/>
        </w:rPr>
        <w:t>764</w:t>
      </w:r>
      <w:r w:rsidRPr="006C41DA">
        <w:rPr>
          <w:rFonts w:ascii="Lato" w:hAnsi="Lato" w:cs="Arial"/>
          <w:b/>
        </w:rPr>
        <w:t>/196</w:t>
      </w:r>
      <w:r w:rsidR="00507B04">
        <w:rPr>
          <w:rFonts w:ascii="Lato" w:hAnsi="Lato" w:cs="Arial"/>
          <w:b/>
        </w:rPr>
        <w:t>9</w:t>
      </w:r>
      <w:r w:rsidRPr="006C41DA">
        <w:rPr>
          <w:rFonts w:ascii="Lato" w:hAnsi="Lato" w:cs="Arial"/>
          <w:b/>
        </w:rPr>
        <w:t xml:space="preserve">, </w:t>
      </w:r>
      <w:r w:rsidRPr="006C41DA">
        <w:rPr>
          <w:rFonts w:ascii="Lato" w:hAnsi="Lato" w:cs="Arial"/>
          <w:b/>
        </w:rPr>
        <w:lastRenderedPageBreak/>
        <w:t>relativo a</w:t>
      </w:r>
      <w:r w:rsidR="00507B04">
        <w:rPr>
          <w:rFonts w:ascii="Lato" w:hAnsi="Lato" w:cs="Arial"/>
          <w:b/>
        </w:rPr>
        <w:t xml:space="preserve">l Juicio de Prescripción Positiva </w:t>
      </w:r>
      <w:r w:rsidR="00B47215">
        <w:rPr>
          <w:rFonts w:ascii="Lato" w:hAnsi="Lato" w:cs="Arial"/>
          <w:b/>
        </w:rPr>
        <w:t>que nos ocupa</w:t>
      </w:r>
      <w:r w:rsidRPr="006C41DA">
        <w:rPr>
          <w:rFonts w:ascii="Lato" w:hAnsi="Lato" w:cs="Arial"/>
          <w:b/>
        </w:rPr>
        <w:t>,</w:t>
      </w:r>
      <w:r w:rsidR="00247B16">
        <w:rPr>
          <w:rFonts w:ascii="Lato" w:hAnsi="Lato" w:cs="Arial"/>
          <w:b/>
        </w:rPr>
        <w:t xml:space="preserve"> </w:t>
      </w:r>
      <w:r w:rsidR="00911D34">
        <w:rPr>
          <w:rFonts w:ascii="Lato" w:hAnsi="Lato" w:cs="Arial"/>
          <w:b/>
        </w:rPr>
        <w:t xml:space="preserve">en los archivos </w:t>
      </w:r>
      <w:r w:rsidR="00BE3239">
        <w:rPr>
          <w:rFonts w:ascii="Lato" w:hAnsi="Lato" w:cs="Arial"/>
          <w:b/>
        </w:rPr>
        <w:t xml:space="preserve">del Juzgado Segundo Civil del Partido Judicial de Tijuana </w:t>
      </w:r>
      <w:r w:rsidR="00911D34">
        <w:rPr>
          <w:rFonts w:ascii="Lato" w:hAnsi="Lato" w:cs="Arial"/>
          <w:b/>
        </w:rPr>
        <w:t>y lugares de</w:t>
      </w:r>
      <w:r w:rsidR="00BE3239">
        <w:rPr>
          <w:rFonts w:ascii="Lato" w:hAnsi="Lato" w:cs="Arial"/>
          <w:b/>
        </w:rPr>
        <w:t>stinados para la custodia de expedientes</w:t>
      </w:r>
      <w:r w:rsidR="00911D34">
        <w:rPr>
          <w:rFonts w:ascii="Lato" w:hAnsi="Lato" w:cs="Arial"/>
          <w:b/>
        </w:rPr>
        <w:t xml:space="preserve"> </w:t>
      </w:r>
      <w:r w:rsidR="00BE3239">
        <w:rPr>
          <w:rFonts w:ascii="Lato" w:hAnsi="Lato" w:cs="Arial"/>
          <w:b/>
        </w:rPr>
        <w:t xml:space="preserve">(Archivo General), </w:t>
      </w:r>
      <w:r w:rsidRPr="006C41DA">
        <w:rPr>
          <w:rFonts w:ascii="Lato" w:hAnsi="Lato" w:cs="Arial"/>
          <w:b/>
        </w:rPr>
        <w:t xml:space="preserve">lo anterior </w:t>
      </w:r>
      <w:r w:rsidRPr="006C41DA">
        <w:rPr>
          <w:rFonts w:ascii="Lato" w:hAnsi="Lato" w:cs="Arial"/>
          <w:u w:val="single"/>
        </w:rPr>
        <w:t>CONSIDERANDO QUE</w:t>
      </w:r>
      <w:r w:rsidRPr="006C41DA">
        <w:rPr>
          <w:rFonts w:ascii="Lato" w:hAnsi="Lato" w:cs="Arial"/>
        </w:rPr>
        <w:t>:</w:t>
      </w:r>
      <w:r w:rsidRPr="006C41DA">
        <w:rPr>
          <w:rFonts w:ascii="Lato" w:hAnsi="Lato" w:cs="Arial"/>
          <w:u w:val="single"/>
        </w:rPr>
        <w:t xml:space="preserve"> </w:t>
      </w:r>
    </w:p>
    <w:p w:rsidR="00721A5A" w:rsidRDefault="00721A5A" w:rsidP="00E14CAC">
      <w:pPr>
        <w:spacing w:before="60" w:line="348" w:lineRule="auto"/>
        <w:jc w:val="both"/>
        <w:rPr>
          <w:rFonts w:ascii="Lato" w:hAnsi="Lato" w:cs="Arial"/>
        </w:rPr>
      </w:pPr>
    </w:p>
    <w:p w:rsidR="00507B04" w:rsidRDefault="006C41DA" w:rsidP="00E14CAC">
      <w:pPr>
        <w:spacing w:before="60" w:line="348" w:lineRule="auto"/>
        <w:jc w:val="both"/>
        <w:rPr>
          <w:rFonts w:ascii="Lato" w:hAnsi="Lato" w:cs="Arial"/>
        </w:rPr>
      </w:pPr>
      <w:r>
        <w:rPr>
          <w:rFonts w:ascii="Lato" w:hAnsi="Lato" w:cs="Arial"/>
        </w:rPr>
        <w:t xml:space="preserve">2.1) </w:t>
      </w:r>
      <w:r w:rsidRPr="006C41DA">
        <w:rPr>
          <w:rFonts w:ascii="Lato" w:hAnsi="Lato" w:cs="Arial"/>
        </w:rPr>
        <w:t xml:space="preserve">La Titular del Juzgado Segundo </w:t>
      </w:r>
      <w:r w:rsidR="00507B04">
        <w:rPr>
          <w:rFonts w:ascii="Lato" w:hAnsi="Lato" w:cs="Arial"/>
        </w:rPr>
        <w:t>Civil</w:t>
      </w:r>
      <w:r w:rsidR="00BE3239">
        <w:rPr>
          <w:rFonts w:ascii="Lato" w:hAnsi="Lato" w:cs="Arial"/>
        </w:rPr>
        <w:t xml:space="preserve"> de Tijuana</w:t>
      </w:r>
      <w:r w:rsidR="00507B04">
        <w:rPr>
          <w:rFonts w:ascii="Lato" w:hAnsi="Lato" w:cs="Arial"/>
        </w:rPr>
        <w:t xml:space="preserve">, ordenó y se </w:t>
      </w:r>
      <w:r w:rsidRPr="006C41DA">
        <w:rPr>
          <w:rFonts w:ascii="Lato" w:hAnsi="Lato" w:cs="Arial"/>
        </w:rPr>
        <w:t xml:space="preserve">realizó una búsqueda exhaustiva </w:t>
      </w:r>
      <w:r w:rsidR="00507B04" w:rsidRPr="006C41DA">
        <w:rPr>
          <w:rFonts w:ascii="Lato" w:hAnsi="Lato" w:cs="Arial"/>
        </w:rPr>
        <w:t>de la información requerida</w:t>
      </w:r>
      <w:r w:rsidR="00507B04">
        <w:rPr>
          <w:rFonts w:ascii="Lato" w:hAnsi="Lato" w:cs="Arial"/>
        </w:rPr>
        <w:t xml:space="preserve"> por su personal, </w:t>
      </w:r>
      <w:r w:rsidR="00507B04" w:rsidRPr="006C41DA">
        <w:rPr>
          <w:rFonts w:ascii="Lato" w:hAnsi="Lato" w:cs="Arial"/>
        </w:rPr>
        <w:t xml:space="preserve">quienes informaron que no se encontró </w:t>
      </w:r>
      <w:r w:rsidR="00507B04" w:rsidRPr="00C80A76">
        <w:rPr>
          <w:rFonts w:ascii="Lato" w:hAnsi="Lato" w:cs="Arial"/>
        </w:rPr>
        <w:t>el sumario de mérito</w:t>
      </w:r>
      <w:r w:rsidR="00507B04">
        <w:rPr>
          <w:rFonts w:ascii="Lato" w:hAnsi="Lato" w:cs="Arial"/>
        </w:rPr>
        <w:t xml:space="preserve"> ni registro del mismo en las instalaciones del Juzgado, levantando el Secretario de Acuerdos, la constancia respectiva; asimismo giró</w:t>
      </w:r>
      <w:r w:rsidRPr="006C41DA">
        <w:rPr>
          <w:rFonts w:ascii="Lato" w:hAnsi="Lato" w:cs="Arial"/>
        </w:rPr>
        <w:t xml:space="preserve"> para </w:t>
      </w:r>
      <w:r w:rsidR="00507B04">
        <w:rPr>
          <w:rFonts w:ascii="Lato" w:hAnsi="Lato" w:cs="Arial"/>
        </w:rPr>
        <w:t xml:space="preserve">los mismos efectos, un </w:t>
      </w:r>
      <w:r w:rsidRPr="006C41DA">
        <w:rPr>
          <w:rFonts w:ascii="Lato" w:hAnsi="Lato" w:cs="Arial"/>
        </w:rPr>
        <w:t>oficio a</w:t>
      </w:r>
      <w:r w:rsidR="00247B16">
        <w:rPr>
          <w:rFonts w:ascii="Lato" w:hAnsi="Lato" w:cs="Arial"/>
        </w:rPr>
        <w:t>l</w:t>
      </w:r>
      <w:r w:rsidRPr="006C41DA">
        <w:rPr>
          <w:rFonts w:ascii="Lato" w:hAnsi="Lato" w:cs="Arial"/>
        </w:rPr>
        <w:t xml:space="preserve"> </w:t>
      </w:r>
      <w:r w:rsidR="00507B04">
        <w:rPr>
          <w:rFonts w:ascii="Lato" w:hAnsi="Lato" w:cs="Arial"/>
        </w:rPr>
        <w:t xml:space="preserve">Coordinador </w:t>
      </w:r>
      <w:r w:rsidRPr="006C41DA">
        <w:rPr>
          <w:rFonts w:ascii="Lato" w:hAnsi="Lato" w:cs="Arial"/>
        </w:rPr>
        <w:t xml:space="preserve">del Archivo Judicial </w:t>
      </w:r>
      <w:r w:rsidR="00507B04">
        <w:rPr>
          <w:rFonts w:ascii="Lato" w:hAnsi="Lato" w:cs="Arial"/>
        </w:rPr>
        <w:t>de Tijuana</w:t>
      </w:r>
      <w:r w:rsidRPr="006C41DA">
        <w:rPr>
          <w:rFonts w:ascii="Lato" w:hAnsi="Lato" w:cs="Arial"/>
        </w:rPr>
        <w:t xml:space="preserve">. </w:t>
      </w:r>
    </w:p>
    <w:p w:rsidR="00507B04" w:rsidRDefault="00507B04" w:rsidP="00E14CAC">
      <w:pPr>
        <w:spacing w:before="60" w:line="348" w:lineRule="auto"/>
        <w:jc w:val="both"/>
        <w:rPr>
          <w:rFonts w:ascii="Lato" w:hAnsi="Lato" w:cs="Arial"/>
        </w:rPr>
      </w:pPr>
    </w:p>
    <w:p w:rsidR="00507B04" w:rsidRDefault="006C41DA" w:rsidP="00E14CAC">
      <w:pPr>
        <w:spacing w:before="60" w:line="348" w:lineRule="auto"/>
        <w:jc w:val="both"/>
        <w:rPr>
          <w:rFonts w:ascii="Lato" w:hAnsi="Lato" w:cs="Arial"/>
        </w:rPr>
      </w:pPr>
      <w:r w:rsidRPr="006C41DA">
        <w:rPr>
          <w:rFonts w:ascii="Lato" w:hAnsi="Lato" w:cs="Arial"/>
          <w:b/>
        </w:rPr>
        <w:t xml:space="preserve">Para justificar la inexistencia, </w:t>
      </w:r>
      <w:r w:rsidRPr="00507B04">
        <w:rPr>
          <w:rFonts w:ascii="Lato" w:hAnsi="Lato" w:cs="Arial"/>
        </w:rPr>
        <w:t>nos hace llegar, copias de</w:t>
      </w:r>
      <w:r w:rsidR="00507B04" w:rsidRPr="00507B04">
        <w:rPr>
          <w:rFonts w:ascii="Lato" w:hAnsi="Lato" w:cs="Arial"/>
        </w:rPr>
        <w:t>l Cuadernillo formado con motivo del requerimiento de información que le efectuara la Unidad de Transparencia</w:t>
      </w:r>
      <w:r w:rsidR="00BE3239">
        <w:rPr>
          <w:rFonts w:ascii="Lato" w:hAnsi="Lato" w:cs="Arial"/>
        </w:rPr>
        <w:t>,</w:t>
      </w:r>
      <w:r w:rsidR="00507B04" w:rsidRPr="00507B04">
        <w:rPr>
          <w:rFonts w:ascii="Lato" w:hAnsi="Lato" w:cs="Arial"/>
        </w:rPr>
        <w:t xml:space="preserve"> en el que se puede observar de sus constancias</w:t>
      </w:r>
      <w:r w:rsidR="00BE3239">
        <w:rPr>
          <w:rFonts w:ascii="Lato" w:hAnsi="Lato" w:cs="Arial"/>
        </w:rPr>
        <w:t>,</w:t>
      </w:r>
      <w:r w:rsidR="00507B04" w:rsidRPr="00507B04">
        <w:rPr>
          <w:rFonts w:ascii="Lato" w:hAnsi="Lato" w:cs="Arial"/>
        </w:rPr>
        <w:t xml:space="preserve"> que</w:t>
      </w:r>
      <w:r w:rsidR="00507B04">
        <w:rPr>
          <w:rFonts w:ascii="Lato" w:hAnsi="Lato" w:cs="Arial"/>
        </w:rPr>
        <w:t xml:space="preserve"> aparece el acuerdo de fecha veinte de abril de este año, dictado por la Titular del Juzgado, en el cual se ordena</w:t>
      </w:r>
      <w:r w:rsidR="009E799C">
        <w:rPr>
          <w:rFonts w:ascii="Lato" w:hAnsi="Lato" w:cs="Arial"/>
        </w:rPr>
        <w:t>:</w:t>
      </w:r>
      <w:r w:rsidR="00507B04">
        <w:rPr>
          <w:rFonts w:ascii="Lato" w:hAnsi="Lato" w:cs="Arial"/>
        </w:rPr>
        <w:t xml:space="preserve"> </w:t>
      </w:r>
      <w:r w:rsidR="00507B04" w:rsidRPr="00507B04">
        <w:rPr>
          <w:rFonts w:ascii="Lato" w:hAnsi="Lato" w:cs="Arial"/>
          <w:i/>
        </w:rPr>
        <w:t>“(…) en consecuencia de tal solicitud procédase a realizar una búsqueda exhaustiva por el personal autorizado de este Juzgado, tanto en los lugares destinados para la custodia de expedientes, en el archivo de este Juzgado, así como en el Libro de Gobierno e Índice del Precitado año, Procédase por el Secretario de Acuerdos adscrito a este Juzgado a levantar la constancia correspondiente y en caso de no localizarlo, líbrese atento oficio a la C. Coordinador del Archivo Judicial de Tijuana, a fin de que a la brevedad posible indique si el expediente 764/1969 se encuentra bajo su custodia en el archivo general, por lo que una vez hecho lo anterior es de ordenarse al C. Secretario de Acuerdos, proceda a dar fe de la existencia de dicho expediente, a efecto de estar en posibilidad de dar contestación a la solicitud de información (…)”</w:t>
      </w:r>
      <w:r w:rsidR="00507B04">
        <w:rPr>
          <w:rFonts w:ascii="Lato" w:hAnsi="Lato" w:cs="Arial"/>
        </w:rPr>
        <w:t xml:space="preserve">, </w:t>
      </w:r>
      <w:r w:rsidR="007E2058">
        <w:rPr>
          <w:rFonts w:ascii="Lato" w:hAnsi="Lato" w:cs="Arial"/>
        </w:rPr>
        <w:t xml:space="preserve">se agrega </w:t>
      </w:r>
      <w:r w:rsidR="00507B04">
        <w:rPr>
          <w:rFonts w:ascii="Lato" w:hAnsi="Lato" w:cs="Arial"/>
        </w:rPr>
        <w:t xml:space="preserve">la </w:t>
      </w:r>
      <w:r w:rsidR="00507B04" w:rsidRPr="007E2058">
        <w:rPr>
          <w:rFonts w:ascii="Lato" w:hAnsi="Lato" w:cs="Arial"/>
          <w:b/>
        </w:rPr>
        <w:t>constancia levantada por el Secretario de Acuerdos en la que se asienta que hecha la búsqueda exhaustiva del expediente</w:t>
      </w:r>
      <w:r w:rsidR="00507B04">
        <w:rPr>
          <w:rFonts w:ascii="Lato" w:hAnsi="Lato" w:cs="Arial"/>
        </w:rPr>
        <w:t xml:space="preserve"> de interés del peticionario, en los lugares destinados para custodia de expedientes, en el archivo del Juzgado y en todas y cada una de las gavetas de </w:t>
      </w:r>
      <w:r w:rsidR="004B6AB4">
        <w:rPr>
          <w:rFonts w:ascii="Lato" w:hAnsi="Lato" w:cs="Arial"/>
        </w:rPr>
        <w:t xml:space="preserve">oficialía </w:t>
      </w:r>
      <w:r w:rsidR="00507B04">
        <w:rPr>
          <w:rFonts w:ascii="Lato" w:hAnsi="Lato" w:cs="Arial"/>
        </w:rPr>
        <w:t xml:space="preserve">de </w:t>
      </w:r>
      <w:r w:rsidR="004B6AB4">
        <w:rPr>
          <w:rFonts w:ascii="Lato" w:hAnsi="Lato" w:cs="Arial"/>
        </w:rPr>
        <w:t>partes</w:t>
      </w:r>
      <w:r w:rsidR="00507B04">
        <w:rPr>
          <w:rFonts w:ascii="Lato" w:hAnsi="Lato" w:cs="Arial"/>
        </w:rPr>
        <w:t xml:space="preserve">, secretarías, área de proyección, privado del Juez, archiveros y anaqueles </w:t>
      </w:r>
      <w:r w:rsidR="00507B04" w:rsidRPr="00BE3239">
        <w:rPr>
          <w:rFonts w:ascii="Lato" w:hAnsi="Lato" w:cs="Arial"/>
          <w:b/>
        </w:rPr>
        <w:t>no fue localizado</w:t>
      </w:r>
      <w:r w:rsidR="00507B04">
        <w:rPr>
          <w:rFonts w:ascii="Lato" w:hAnsi="Lato" w:cs="Arial"/>
        </w:rPr>
        <w:t>. Igualmente se asienta que se revisaron las listas de los expedientes que se remiten al archivo judicial y no se localizó ese expediente como tampoco en el libro de gobierno del año 1969, haciéndose constar que está incompleto, toda vez que inicia con el número de expediente 71/1969</w:t>
      </w:r>
      <w:r w:rsidR="00BE3239">
        <w:rPr>
          <w:rFonts w:ascii="Lato" w:hAnsi="Lato" w:cs="Arial"/>
        </w:rPr>
        <w:t>,</w:t>
      </w:r>
      <w:r w:rsidR="00507B04">
        <w:rPr>
          <w:rFonts w:ascii="Lato" w:hAnsi="Lato" w:cs="Arial"/>
        </w:rPr>
        <w:t xml:space="preserve"> con fecha de </w:t>
      </w:r>
      <w:r w:rsidR="00507B04">
        <w:rPr>
          <w:rFonts w:ascii="Lato" w:hAnsi="Lato" w:cs="Arial"/>
        </w:rPr>
        <w:lastRenderedPageBreak/>
        <w:t>registro 21 de enero de ese año y concluye con el número 281/1969</w:t>
      </w:r>
      <w:r w:rsidR="00BE3239">
        <w:rPr>
          <w:rFonts w:ascii="Lato" w:hAnsi="Lato" w:cs="Arial"/>
        </w:rPr>
        <w:t>,</w:t>
      </w:r>
      <w:r w:rsidR="00507B04">
        <w:rPr>
          <w:rFonts w:ascii="Lato" w:hAnsi="Lato" w:cs="Arial"/>
        </w:rPr>
        <w:t xml:space="preserve"> de fecha 05 de marzo de 1969. Por otra parte, </w:t>
      </w:r>
      <w:r w:rsidR="007E2058">
        <w:rPr>
          <w:rFonts w:ascii="Lato" w:hAnsi="Lato" w:cs="Arial"/>
        </w:rPr>
        <w:t xml:space="preserve">también </w:t>
      </w:r>
      <w:r w:rsidR="00507B04">
        <w:rPr>
          <w:rFonts w:ascii="Lato" w:hAnsi="Lato" w:cs="Arial"/>
        </w:rPr>
        <w:t xml:space="preserve">hace constar que no fue localizado el índice de ese Juzgado correspondiente a 1969. </w:t>
      </w:r>
    </w:p>
    <w:p w:rsidR="00323E6D" w:rsidRDefault="00323E6D" w:rsidP="00E14CAC">
      <w:pPr>
        <w:spacing w:before="60" w:line="348" w:lineRule="auto"/>
        <w:jc w:val="both"/>
        <w:rPr>
          <w:rFonts w:ascii="Lato" w:hAnsi="Lato" w:cs="Arial"/>
        </w:rPr>
      </w:pPr>
    </w:p>
    <w:p w:rsidR="007E2058" w:rsidRDefault="007E2058" w:rsidP="00E14CAC">
      <w:pPr>
        <w:spacing w:before="60" w:line="348" w:lineRule="auto"/>
        <w:jc w:val="both"/>
        <w:rPr>
          <w:rFonts w:ascii="Lato" w:hAnsi="Lato" w:cs="Arial"/>
        </w:rPr>
      </w:pPr>
      <w:r>
        <w:rPr>
          <w:rFonts w:ascii="Lato" w:hAnsi="Lato" w:cs="Arial"/>
        </w:rPr>
        <w:t xml:space="preserve">Asimismo se agrega al cuadernillo el oficio 386/2021, de respuesta del Coordinador del Archivo Judicial </w:t>
      </w:r>
      <w:r w:rsidR="00BE3239">
        <w:rPr>
          <w:rFonts w:ascii="Lato" w:hAnsi="Lato" w:cs="Arial"/>
        </w:rPr>
        <w:t xml:space="preserve">de </w:t>
      </w:r>
      <w:r>
        <w:rPr>
          <w:rFonts w:ascii="Lato" w:hAnsi="Lato" w:cs="Arial"/>
        </w:rPr>
        <w:t xml:space="preserve">Tijuana, en cuyo texto informa que </w:t>
      </w:r>
      <w:r w:rsidRPr="007E2058">
        <w:rPr>
          <w:rFonts w:ascii="Lato" w:hAnsi="Lato" w:cs="Arial"/>
          <w:b/>
        </w:rPr>
        <w:t xml:space="preserve">el expediente en cuestión, no se encuentra bajo su custodia en el Archivo Judicial General, </w:t>
      </w:r>
      <w:r w:rsidRPr="00BE3239">
        <w:rPr>
          <w:rFonts w:ascii="Lato" w:hAnsi="Lato" w:cs="Arial"/>
          <w:b/>
        </w:rPr>
        <w:t>en virtud de que se dañó en su totalidad</w:t>
      </w:r>
      <w:r>
        <w:rPr>
          <w:rFonts w:ascii="Lato" w:hAnsi="Lato" w:cs="Arial"/>
        </w:rPr>
        <w:t xml:space="preserve"> a consecuencia del siniestro que sufrió el inmueble que se utilizaba para tales fines en las lluvias que azotaron a la ciudad en el mes de enero de 1993.</w:t>
      </w:r>
    </w:p>
    <w:p w:rsidR="00507B04" w:rsidRDefault="00507B04" w:rsidP="00E14CAC">
      <w:pPr>
        <w:spacing w:before="60" w:line="348" w:lineRule="auto"/>
        <w:jc w:val="both"/>
        <w:rPr>
          <w:rFonts w:ascii="Lato" w:hAnsi="Lato" w:cs="Arial"/>
          <w:b/>
        </w:rPr>
      </w:pPr>
    </w:p>
    <w:p w:rsidR="007E2058" w:rsidRDefault="00323E6D" w:rsidP="00E14CAC">
      <w:pPr>
        <w:spacing w:before="60" w:line="348" w:lineRule="auto"/>
        <w:jc w:val="both"/>
        <w:rPr>
          <w:rFonts w:ascii="Lato" w:hAnsi="Lato" w:cs="Arial"/>
        </w:rPr>
      </w:pPr>
      <w:r w:rsidRPr="00323E6D">
        <w:rPr>
          <w:rFonts w:ascii="Lato" w:hAnsi="Lato" w:cs="Arial"/>
        </w:rPr>
        <w:t xml:space="preserve">2.2) </w:t>
      </w:r>
      <w:r w:rsidR="00BE3239">
        <w:rPr>
          <w:rFonts w:ascii="Lato" w:hAnsi="Lato" w:cs="Arial"/>
        </w:rPr>
        <w:t xml:space="preserve">Vistas las consideraciones que anteceden, </w:t>
      </w:r>
      <w:r w:rsidR="006C41DA" w:rsidRPr="00323E6D">
        <w:rPr>
          <w:rFonts w:ascii="Lato" w:hAnsi="Lato" w:cs="Arial"/>
        </w:rPr>
        <w:t>esencialmente por haberse hecho una búsqueda exhausti</w:t>
      </w:r>
      <w:r w:rsidR="007E2058" w:rsidRPr="00323E6D">
        <w:rPr>
          <w:rFonts w:ascii="Lato" w:hAnsi="Lato" w:cs="Arial"/>
        </w:rPr>
        <w:t>va y razonable del expediente 764</w:t>
      </w:r>
      <w:r w:rsidR="006C41DA" w:rsidRPr="00323E6D">
        <w:rPr>
          <w:rFonts w:ascii="Lato" w:hAnsi="Lato" w:cs="Arial"/>
        </w:rPr>
        <w:t>/196</w:t>
      </w:r>
      <w:r w:rsidR="007E2058" w:rsidRPr="00323E6D">
        <w:rPr>
          <w:rFonts w:ascii="Lato" w:hAnsi="Lato" w:cs="Arial"/>
        </w:rPr>
        <w:t>9</w:t>
      </w:r>
      <w:r w:rsidRPr="00323E6D">
        <w:rPr>
          <w:rFonts w:ascii="Lato" w:hAnsi="Lato" w:cs="Arial"/>
        </w:rPr>
        <w:t xml:space="preserve"> tanto en el Juzgado Segundo Civil de Tijuana, como en el Archivo Judicial en esa ciudad </w:t>
      </w:r>
      <w:r w:rsidR="006C41DA" w:rsidRPr="00323E6D">
        <w:rPr>
          <w:rFonts w:ascii="Lato" w:hAnsi="Lato" w:cs="Arial"/>
        </w:rPr>
        <w:t xml:space="preserve">y que </w:t>
      </w:r>
      <w:r w:rsidR="006C41DA" w:rsidRPr="00323E6D">
        <w:rPr>
          <w:rFonts w:ascii="Lato" w:hAnsi="Lato" w:cs="Arial"/>
          <w:b/>
        </w:rPr>
        <w:t xml:space="preserve">la </w:t>
      </w:r>
      <w:r w:rsidR="004B6AB4" w:rsidRPr="00323E6D">
        <w:rPr>
          <w:rFonts w:ascii="Lato" w:hAnsi="Lato" w:cs="Arial"/>
          <w:b/>
        </w:rPr>
        <w:t xml:space="preserve">Titular </w:t>
      </w:r>
      <w:r w:rsidR="006C41DA" w:rsidRPr="00323E6D">
        <w:rPr>
          <w:rFonts w:ascii="Lato" w:hAnsi="Lato" w:cs="Arial"/>
          <w:b/>
        </w:rPr>
        <w:t xml:space="preserve">del </w:t>
      </w:r>
      <w:r w:rsidRPr="00323E6D">
        <w:rPr>
          <w:rFonts w:ascii="Lato" w:hAnsi="Lato" w:cs="Arial"/>
          <w:b/>
        </w:rPr>
        <w:t>Ju</w:t>
      </w:r>
      <w:r w:rsidR="004B6AB4">
        <w:rPr>
          <w:rFonts w:ascii="Lato" w:hAnsi="Lato" w:cs="Arial"/>
          <w:b/>
        </w:rPr>
        <w:t>z</w:t>
      </w:r>
      <w:r w:rsidRPr="00323E6D">
        <w:rPr>
          <w:rFonts w:ascii="Lato" w:hAnsi="Lato" w:cs="Arial"/>
          <w:b/>
        </w:rPr>
        <w:t>gado referido</w:t>
      </w:r>
      <w:r w:rsidR="006C41DA" w:rsidRPr="00323E6D">
        <w:rPr>
          <w:rFonts w:ascii="Lato" w:hAnsi="Lato" w:cs="Arial"/>
          <w:b/>
        </w:rPr>
        <w:t xml:space="preserve"> </w:t>
      </w:r>
      <w:r w:rsidR="007E2058" w:rsidRPr="00323E6D">
        <w:rPr>
          <w:rFonts w:ascii="Lato" w:hAnsi="Lato" w:cs="Arial"/>
          <w:b/>
        </w:rPr>
        <w:t xml:space="preserve">manifiesta que hecha la búsqueda exhaustiva del </w:t>
      </w:r>
      <w:r w:rsidRPr="00323E6D">
        <w:rPr>
          <w:rFonts w:ascii="Lato" w:hAnsi="Lato" w:cs="Arial"/>
          <w:b/>
        </w:rPr>
        <w:t>expediente citado, éste</w:t>
      </w:r>
      <w:r w:rsidR="007E2058" w:rsidRPr="00323E6D">
        <w:rPr>
          <w:rFonts w:ascii="Lato" w:hAnsi="Lato" w:cs="Arial"/>
          <w:b/>
        </w:rPr>
        <w:t xml:space="preserve"> no </w:t>
      </w:r>
      <w:r w:rsidRPr="00323E6D">
        <w:rPr>
          <w:rFonts w:ascii="Lato" w:hAnsi="Lato" w:cs="Arial"/>
          <w:b/>
        </w:rPr>
        <w:t>fue localizado</w:t>
      </w:r>
      <w:r w:rsidR="007E2058" w:rsidRPr="00323E6D">
        <w:rPr>
          <w:rFonts w:ascii="Lato" w:hAnsi="Lato" w:cs="Arial"/>
          <w:b/>
        </w:rPr>
        <w:t xml:space="preserve"> </w:t>
      </w:r>
      <w:r w:rsidR="007E2058" w:rsidRPr="00323E6D">
        <w:rPr>
          <w:rFonts w:ascii="Lato" w:hAnsi="Lato" w:cs="Arial"/>
        </w:rPr>
        <w:t>ni en los espacios físicos del Juzg</w:t>
      </w:r>
      <w:r w:rsidR="00BE3239">
        <w:rPr>
          <w:rFonts w:ascii="Lato" w:hAnsi="Lato" w:cs="Arial"/>
        </w:rPr>
        <w:t>ado, ni en el libro de Gobierno</w:t>
      </w:r>
      <w:r w:rsidR="007E2058" w:rsidRPr="00323E6D">
        <w:rPr>
          <w:rFonts w:ascii="Lato" w:hAnsi="Lato" w:cs="Arial"/>
        </w:rPr>
        <w:t xml:space="preserve">, ni fue localizado el índice de ese Juzgado, correspondiente al año 1969, </w:t>
      </w:r>
      <w:r w:rsidR="007E2058" w:rsidRPr="00323E6D">
        <w:rPr>
          <w:rFonts w:ascii="Lato" w:hAnsi="Lato" w:cs="Arial"/>
          <w:b/>
        </w:rPr>
        <w:t xml:space="preserve">comprobando su búsqueda con las constancias </w:t>
      </w:r>
      <w:r w:rsidR="00D1389B">
        <w:rPr>
          <w:rFonts w:ascii="Lato" w:hAnsi="Lato" w:cs="Arial"/>
          <w:b/>
        </w:rPr>
        <w:t xml:space="preserve">que integran el </w:t>
      </w:r>
      <w:r w:rsidR="004B6AB4">
        <w:rPr>
          <w:rFonts w:ascii="Lato" w:hAnsi="Lato" w:cs="Arial"/>
          <w:b/>
        </w:rPr>
        <w:t>c</w:t>
      </w:r>
      <w:r w:rsidR="007E2058" w:rsidRPr="00323E6D">
        <w:rPr>
          <w:rFonts w:ascii="Lato" w:hAnsi="Lato" w:cs="Arial"/>
          <w:b/>
        </w:rPr>
        <w:t>uadernillo</w:t>
      </w:r>
      <w:r w:rsidR="00666728" w:rsidRPr="00323E6D">
        <w:rPr>
          <w:rFonts w:ascii="Lato" w:hAnsi="Lato" w:cs="Arial"/>
          <w:b/>
        </w:rPr>
        <w:t xml:space="preserve"> que presenta</w:t>
      </w:r>
      <w:r w:rsidR="00D1389B">
        <w:rPr>
          <w:rFonts w:ascii="Lato" w:hAnsi="Lato" w:cs="Arial"/>
          <w:b/>
        </w:rPr>
        <w:t xml:space="preserve"> y</w:t>
      </w:r>
      <w:r w:rsidR="00666728" w:rsidRPr="00323E6D">
        <w:rPr>
          <w:rFonts w:ascii="Lato" w:hAnsi="Lato" w:cs="Arial"/>
          <w:b/>
        </w:rPr>
        <w:t xml:space="preserve"> </w:t>
      </w:r>
      <w:r w:rsidRPr="00323E6D">
        <w:rPr>
          <w:rFonts w:ascii="Lato" w:hAnsi="Lato" w:cs="Arial"/>
          <w:b/>
        </w:rPr>
        <w:t>que contiene</w:t>
      </w:r>
      <w:r w:rsidR="00D1389B">
        <w:rPr>
          <w:rFonts w:ascii="Lato" w:hAnsi="Lato" w:cs="Arial"/>
          <w:b/>
        </w:rPr>
        <w:t xml:space="preserve">, entre otras, </w:t>
      </w:r>
      <w:r w:rsidRPr="00323E6D">
        <w:rPr>
          <w:rFonts w:ascii="Lato" w:hAnsi="Lato" w:cs="Arial"/>
          <w:b/>
        </w:rPr>
        <w:t>co</w:t>
      </w:r>
      <w:r w:rsidR="00D1389B">
        <w:rPr>
          <w:rFonts w:ascii="Lato" w:hAnsi="Lato" w:cs="Arial"/>
          <w:b/>
        </w:rPr>
        <w:t>pia del o</w:t>
      </w:r>
      <w:r w:rsidRPr="00323E6D">
        <w:rPr>
          <w:rFonts w:ascii="Lato" w:hAnsi="Lato" w:cs="Arial"/>
          <w:b/>
        </w:rPr>
        <w:t xml:space="preserve">ficio del Coordinador del Archivo en el que manifiesta la no localización del sumario </w:t>
      </w:r>
      <w:r w:rsidRPr="00D1389B">
        <w:rPr>
          <w:rFonts w:ascii="Lato" w:hAnsi="Lato" w:cs="Arial"/>
        </w:rPr>
        <w:t>que nos ocupa y las causas,</w:t>
      </w:r>
      <w:r w:rsidR="00666728" w:rsidRPr="00323E6D">
        <w:rPr>
          <w:rFonts w:ascii="Lato" w:hAnsi="Lato" w:cs="Arial"/>
          <w:b/>
        </w:rPr>
        <w:t xml:space="preserve"> este Comité</w:t>
      </w:r>
      <w:r w:rsidR="007E2058" w:rsidRPr="00323E6D">
        <w:rPr>
          <w:rFonts w:ascii="Lato" w:hAnsi="Lato" w:cs="Arial"/>
          <w:b/>
        </w:rPr>
        <w:t xml:space="preserve"> </w:t>
      </w:r>
      <w:r w:rsidRPr="00323E6D">
        <w:rPr>
          <w:rFonts w:ascii="Lato" w:hAnsi="Lato" w:cs="Arial"/>
          <w:b/>
        </w:rPr>
        <w:t xml:space="preserve">habrá de </w:t>
      </w:r>
      <w:r w:rsidR="007E2058" w:rsidRPr="00323E6D">
        <w:rPr>
          <w:rFonts w:ascii="Lato" w:hAnsi="Lato" w:cs="Arial"/>
          <w:b/>
          <w:u w:val="single"/>
        </w:rPr>
        <w:t>confirmar la inexistencia</w:t>
      </w:r>
      <w:r w:rsidR="007E2058" w:rsidRPr="00323E6D">
        <w:rPr>
          <w:rFonts w:ascii="Lato" w:hAnsi="Lato" w:cs="Arial"/>
          <w:b/>
        </w:rPr>
        <w:t xml:space="preserve"> de tal expediente jurisdiccional, </w:t>
      </w:r>
      <w:r w:rsidR="007E2058" w:rsidRPr="00323E6D">
        <w:rPr>
          <w:rFonts w:ascii="Lato" w:hAnsi="Lato" w:cs="Arial"/>
        </w:rPr>
        <w:t>como lo exige la fracción II del artículo 54 de la Ley de la Materia</w:t>
      </w:r>
      <w:r w:rsidR="00BE3239">
        <w:rPr>
          <w:rFonts w:ascii="Lato" w:hAnsi="Lato" w:cs="Arial"/>
        </w:rPr>
        <w:t>, con fundamento</w:t>
      </w:r>
      <w:r w:rsidR="00BE3239" w:rsidRPr="00323E6D">
        <w:rPr>
          <w:rFonts w:ascii="Lato" w:hAnsi="Lato" w:cs="Arial"/>
        </w:rPr>
        <w:t xml:space="preserve"> en el artículo 131, fracciones I y II, de la Ley de Transparencia y Acceso a la Información Pública para el Estado de Baja California</w:t>
      </w:r>
      <w:r w:rsidR="007E2058" w:rsidRPr="006C41DA">
        <w:rPr>
          <w:rFonts w:ascii="Lato" w:hAnsi="Lato" w:cs="Arial"/>
        </w:rPr>
        <w:t>.</w:t>
      </w:r>
    </w:p>
    <w:p w:rsidR="00666728" w:rsidRDefault="00666728" w:rsidP="00E14CAC">
      <w:pPr>
        <w:spacing w:before="60" w:line="348" w:lineRule="auto"/>
        <w:jc w:val="both"/>
        <w:rPr>
          <w:rFonts w:ascii="Lato" w:hAnsi="Lato" w:cs="Arial"/>
        </w:rPr>
      </w:pPr>
    </w:p>
    <w:p w:rsidR="006C41DA" w:rsidRDefault="00D1389B" w:rsidP="00E14CAC">
      <w:pPr>
        <w:spacing w:line="348" w:lineRule="auto"/>
        <w:jc w:val="both"/>
        <w:rPr>
          <w:rFonts w:ascii="Lato" w:hAnsi="Lato" w:cs="Arial"/>
        </w:rPr>
      </w:pPr>
      <w:r>
        <w:rPr>
          <w:rFonts w:ascii="Lato" w:hAnsi="Lato" w:cs="Arial"/>
        </w:rPr>
        <w:t xml:space="preserve">No obstante lo anterior y en atención a la exigencia establecida en la fracción III del mencionado artículo 131 de la Ley estatal de la materia, la Juzgadora citada </w:t>
      </w:r>
      <w:r w:rsidR="00666728" w:rsidRPr="00D1389B">
        <w:rPr>
          <w:rFonts w:ascii="Lato" w:hAnsi="Lato" w:cs="Arial"/>
          <w:b/>
        </w:rPr>
        <w:t>d</w:t>
      </w:r>
      <w:r w:rsidR="007E2058">
        <w:rPr>
          <w:rFonts w:ascii="Lato" w:hAnsi="Lato" w:cs="Arial"/>
          <w:b/>
        </w:rPr>
        <w:t xml:space="preserve">eberá iniciar el procedimiento legal establecido </w:t>
      </w:r>
      <w:r w:rsidR="006C41DA" w:rsidRPr="006C41DA">
        <w:rPr>
          <w:rFonts w:ascii="Lato" w:hAnsi="Lato" w:cs="Arial"/>
          <w:b/>
        </w:rPr>
        <w:t xml:space="preserve">en el artículo 70 del Código de Procedimientos Civiles para </w:t>
      </w:r>
      <w:r>
        <w:rPr>
          <w:rFonts w:ascii="Lato" w:hAnsi="Lato" w:cs="Arial"/>
          <w:b/>
        </w:rPr>
        <w:t>la</w:t>
      </w:r>
      <w:r w:rsidR="006C41DA" w:rsidRPr="006C41DA">
        <w:rPr>
          <w:rFonts w:ascii="Lato" w:hAnsi="Lato" w:cs="Arial"/>
          <w:b/>
        </w:rPr>
        <w:t xml:space="preserve"> reposición</w:t>
      </w:r>
      <w:r>
        <w:rPr>
          <w:rFonts w:ascii="Lato" w:hAnsi="Lato" w:cs="Arial"/>
          <w:b/>
        </w:rPr>
        <w:t xml:space="preserve"> del expediente materia de esta resolución</w:t>
      </w:r>
      <w:r w:rsidR="006C41DA" w:rsidRPr="006C41DA">
        <w:rPr>
          <w:rFonts w:ascii="Lato" w:hAnsi="Lato" w:cs="Arial"/>
          <w:b/>
        </w:rPr>
        <w:t>,</w:t>
      </w:r>
      <w:r w:rsidR="00247B16">
        <w:rPr>
          <w:rFonts w:ascii="Lato" w:hAnsi="Lato" w:cs="Arial"/>
        </w:rPr>
        <w:t xml:space="preserve"> </w:t>
      </w:r>
      <w:r>
        <w:rPr>
          <w:rFonts w:ascii="Lato" w:hAnsi="Lato" w:cs="Arial"/>
        </w:rPr>
        <w:t xml:space="preserve">procedimiento judicial que corresponde </w:t>
      </w:r>
      <w:r w:rsidRPr="00E14CAC">
        <w:rPr>
          <w:rFonts w:ascii="Lato" w:hAnsi="Lato" w:cs="Arial"/>
        </w:rPr>
        <w:t>para que se reponga</w:t>
      </w:r>
      <w:r w:rsidR="00BE3239" w:rsidRPr="00E14CAC">
        <w:rPr>
          <w:rFonts w:ascii="Lato" w:hAnsi="Lato" w:cs="Arial"/>
        </w:rPr>
        <w:t xml:space="preserve"> la información en caso de que é</w:t>
      </w:r>
      <w:r w:rsidRPr="00E14CAC">
        <w:rPr>
          <w:rFonts w:ascii="Lato" w:hAnsi="Lato" w:cs="Arial"/>
        </w:rPr>
        <w:t>sta tiene que existir</w:t>
      </w:r>
      <w:r w:rsidR="005D5C4D" w:rsidRPr="00E14CAC">
        <w:rPr>
          <w:rFonts w:ascii="Lato" w:hAnsi="Lato" w:cs="Arial"/>
        </w:rPr>
        <w:t>,</w:t>
      </w:r>
      <w:r>
        <w:rPr>
          <w:rFonts w:ascii="Lato" w:hAnsi="Lato" w:cs="Arial"/>
        </w:rPr>
        <w:t xml:space="preserve"> en la medida que deriva del ejercicio de sus facultades competencias o funciones</w:t>
      </w:r>
      <w:r w:rsidR="00BE3239">
        <w:rPr>
          <w:rFonts w:ascii="Lato" w:hAnsi="Lato" w:cs="Arial"/>
        </w:rPr>
        <w:t>;</w:t>
      </w:r>
      <w:r>
        <w:rPr>
          <w:rFonts w:ascii="Lato" w:hAnsi="Lato" w:cs="Arial"/>
        </w:rPr>
        <w:t xml:space="preserve"> </w:t>
      </w:r>
      <w:r w:rsidRPr="00BE3239">
        <w:rPr>
          <w:rFonts w:ascii="Lato" w:hAnsi="Lato" w:cs="Arial"/>
          <w:b/>
        </w:rPr>
        <w:t xml:space="preserve">o bien, previa la acreditación de la imposibilidad de su </w:t>
      </w:r>
      <w:r w:rsidRPr="00BE3239">
        <w:rPr>
          <w:rFonts w:ascii="Lato" w:hAnsi="Lato" w:cs="Arial"/>
          <w:b/>
        </w:rPr>
        <w:lastRenderedPageBreak/>
        <w:t>generación,</w:t>
      </w:r>
      <w:r>
        <w:rPr>
          <w:rFonts w:ascii="Lato" w:hAnsi="Lato" w:cs="Arial"/>
        </w:rPr>
        <w:t xml:space="preserve"> </w:t>
      </w:r>
      <w:r w:rsidRPr="00BE3239">
        <w:rPr>
          <w:rFonts w:ascii="Lato" w:hAnsi="Lato" w:cs="Arial"/>
          <w:b/>
        </w:rPr>
        <w:t xml:space="preserve">exponga de forma fundada y motivada, las razones por las cuales  </w:t>
      </w:r>
      <w:r w:rsidR="005D5C4D" w:rsidRPr="00BE3239">
        <w:rPr>
          <w:rFonts w:ascii="Lato" w:hAnsi="Lato" w:cs="Arial"/>
          <w:b/>
        </w:rPr>
        <w:t>en el caso particular no ejerció dichas facultades,</w:t>
      </w:r>
      <w:r w:rsidR="005D5C4D">
        <w:rPr>
          <w:rFonts w:ascii="Lato" w:hAnsi="Lato" w:cs="Arial"/>
        </w:rPr>
        <w:t xml:space="preserve"> competencias o funciones, lo cual notificará al solicitante a través de la Unidad de Transparencia.</w:t>
      </w:r>
    </w:p>
    <w:p w:rsidR="006C41DA" w:rsidRPr="00B47215" w:rsidRDefault="006C41DA" w:rsidP="00E14CAC">
      <w:pPr>
        <w:spacing w:line="348" w:lineRule="auto"/>
        <w:jc w:val="both"/>
        <w:rPr>
          <w:rFonts w:ascii="Lato" w:hAnsi="Lato" w:cs="Arial"/>
          <w:sz w:val="6"/>
        </w:rPr>
      </w:pPr>
    </w:p>
    <w:p w:rsidR="005D5C4D" w:rsidRPr="00E14CAC" w:rsidRDefault="005D5C4D" w:rsidP="00E14CAC">
      <w:pPr>
        <w:spacing w:line="348" w:lineRule="auto"/>
        <w:jc w:val="both"/>
        <w:rPr>
          <w:rFonts w:ascii="Lato" w:hAnsi="Lato" w:cs="Arial"/>
          <w:sz w:val="22"/>
        </w:rPr>
      </w:pPr>
    </w:p>
    <w:p w:rsidR="006C41DA" w:rsidRPr="006C41DA" w:rsidRDefault="006C41DA" w:rsidP="00E14CAC">
      <w:pPr>
        <w:spacing w:line="348" w:lineRule="auto"/>
        <w:jc w:val="both"/>
        <w:rPr>
          <w:rFonts w:ascii="Lato" w:hAnsi="Lato" w:cs="Arial"/>
          <w:b/>
        </w:rPr>
      </w:pPr>
      <w:r>
        <w:rPr>
          <w:rFonts w:ascii="Lato" w:hAnsi="Lato" w:cs="Arial"/>
        </w:rPr>
        <w:t xml:space="preserve">3) </w:t>
      </w:r>
      <w:r w:rsidRPr="006C41DA">
        <w:rPr>
          <w:rFonts w:ascii="Lato" w:hAnsi="Lato" w:cs="Arial"/>
        </w:rPr>
        <w:t>Consecuentemente, los integrantes del Comité</w:t>
      </w:r>
      <w:r w:rsidRPr="006C41DA">
        <w:rPr>
          <w:rFonts w:ascii="Lato" w:hAnsi="Lato" w:cs="Arial"/>
          <w:b/>
        </w:rPr>
        <w:t xml:space="preserve"> ACUERDAN: Se confirma la declaración de inexistencia pronunciada por la Juez</w:t>
      </w:r>
      <w:r w:rsidR="00FA17CA">
        <w:rPr>
          <w:rFonts w:ascii="Lato" w:hAnsi="Lato" w:cs="Arial"/>
          <w:b/>
        </w:rPr>
        <w:t>a</w:t>
      </w:r>
      <w:r w:rsidRPr="006C41DA">
        <w:rPr>
          <w:rFonts w:ascii="Lato" w:hAnsi="Lato" w:cs="Arial"/>
          <w:b/>
        </w:rPr>
        <w:t xml:space="preserve"> Segundo Civil </w:t>
      </w:r>
      <w:r w:rsidR="00FA17CA">
        <w:rPr>
          <w:rFonts w:ascii="Lato" w:hAnsi="Lato" w:cs="Arial"/>
          <w:b/>
        </w:rPr>
        <w:t xml:space="preserve">con carácter Provisional </w:t>
      </w:r>
      <w:r w:rsidRPr="006C41DA">
        <w:rPr>
          <w:rFonts w:ascii="Lato" w:hAnsi="Lato" w:cs="Arial"/>
          <w:b/>
        </w:rPr>
        <w:t xml:space="preserve">del Partido Judicial de </w:t>
      </w:r>
      <w:r w:rsidR="00FA17CA">
        <w:rPr>
          <w:rFonts w:ascii="Lato" w:hAnsi="Lato" w:cs="Arial"/>
          <w:b/>
        </w:rPr>
        <w:t>Tijuana</w:t>
      </w:r>
      <w:r w:rsidRPr="006C41DA">
        <w:rPr>
          <w:rFonts w:ascii="Lato" w:hAnsi="Lato" w:cs="Arial"/>
          <w:b/>
        </w:rPr>
        <w:t>, Baja California, con respecto al expediente</w:t>
      </w:r>
      <w:r w:rsidR="00247B16">
        <w:rPr>
          <w:rFonts w:ascii="Lato" w:hAnsi="Lato" w:cs="Arial"/>
          <w:b/>
        </w:rPr>
        <w:t xml:space="preserve"> </w:t>
      </w:r>
      <w:r w:rsidRPr="006C41DA">
        <w:rPr>
          <w:rFonts w:ascii="Lato" w:hAnsi="Lato" w:cs="Arial"/>
        </w:rPr>
        <w:t>7</w:t>
      </w:r>
      <w:r w:rsidR="00FA17CA">
        <w:rPr>
          <w:rFonts w:ascii="Lato" w:hAnsi="Lato" w:cs="Arial"/>
        </w:rPr>
        <w:t>64/1969</w:t>
      </w:r>
      <w:r w:rsidRPr="006C41DA">
        <w:rPr>
          <w:rFonts w:ascii="Lato" w:hAnsi="Lato" w:cs="Arial"/>
        </w:rPr>
        <w:t>, de</w:t>
      </w:r>
      <w:r w:rsidR="00FA17CA">
        <w:rPr>
          <w:rFonts w:ascii="Lato" w:hAnsi="Lato" w:cs="Arial"/>
        </w:rPr>
        <w:t xml:space="preserve"> interés del peticionario</w:t>
      </w:r>
      <w:r w:rsidR="005D5C4D">
        <w:rPr>
          <w:rFonts w:ascii="Lato" w:hAnsi="Lato" w:cs="Arial"/>
        </w:rPr>
        <w:t xml:space="preserve"> y </w:t>
      </w:r>
      <w:r w:rsidR="005D5C4D" w:rsidRPr="00BE3239">
        <w:rPr>
          <w:rFonts w:ascii="Lato" w:hAnsi="Lato" w:cs="Arial"/>
          <w:u w:val="single"/>
        </w:rPr>
        <w:t>se ordena</w:t>
      </w:r>
      <w:r w:rsidR="005D5C4D">
        <w:rPr>
          <w:rFonts w:ascii="Lato" w:hAnsi="Lato" w:cs="Arial"/>
        </w:rPr>
        <w:t xml:space="preserve"> en atención a la exigencia establecida en la fracción III del mencionado artículo 131 de la Ley estatal de la materia, a la Juzgadora citada,</w:t>
      </w:r>
      <w:r w:rsidR="005D5C4D">
        <w:rPr>
          <w:rFonts w:ascii="Lato" w:hAnsi="Lato" w:cs="Arial"/>
          <w:b/>
        </w:rPr>
        <w:t xml:space="preserve"> iniciar el procedimiento legal establecido </w:t>
      </w:r>
      <w:r w:rsidR="005D5C4D" w:rsidRPr="006C41DA">
        <w:rPr>
          <w:rFonts w:ascii="Lato" w:hAnsi="Lato" w:cs="Arial"/>
          <w:b/>
        </w:rPr>
        <w:t xml:space="preserve">en el artículo 70 del Código de Procedimientos Civiles para </w:t>
      </w:r>
      <w:r w:rsidR="005D5C4D">
        <w:rPr>
          <w:rFonts w:ascii="Lato" w:hAnsi="Lato" w:cs="Arial"/>
          <w:b/>
        </w:rPr>
        <w:t>la</w:t>
      </w:r>
      <w:r w:rsidR="005D5C4D" w:rsidRPr="006C41DA">
        <w:rPr>
          <w:rFonts w:ascii="Lato" w:hAnsi="Lato" w:cs="Arial"/>
          <w:b/>
        </w:rPr>
        <w:t xml:space="preserve"> reposición</w:t>
      </w:r>
      <w:r w:rsidR="005D5C4D">
        <w:rPr>
          <w:rFonts w:ascii="Lato" w:hAnsi="Lato" w:cs="Arial"/>
          <w:b/>
        </w:rPr>
        <w:t xml:space="preserve"> del expediente materia de esta resolución</w:t>
      </w:r>
      <w:r w:rsidR="005D5C4D" w:rsidRPr="006C41DA">
        <w:rPr>
          <w:rFonts w:ascii="Lato" w:hAnsi="Lato" w:cs="Arial"/>
          <w:b/>
        </w:rPr>
        <w:t>,</w:t>
      </w:r>
      <w:r w:rsidR="005D5C4D">
        <w:rPr>
          <w:rFonts w:ascii="Lato" w:hAnsi="Lato" w:cs="Arial"/>
        </w:rPr>
        <w:t xml:space="preserve"> procedimiento judicial que corresponde para que se reponga la información </w:t>
      </w:r>
      <w:r w:rsidR="005D5C4D" w:rsidRPr="00E14CAC">
        <w:rPr>
          <w:rFonts w:ascii="Lato" w:hAnsi="Lato" w:cs="Arial"/>
        </w:rPr>
        <w:t>en caso de que esta tiene que existir,</w:t>
      </w:r>
      <w:r w:rsidR="005D5C4D">
        <w:rPr>
          <w:rFonts w:ascii="Lato" w:hAnsi="Lato" w:cs="Arial"/>
        </w:rPr>
        <w:t xml:space="preserve"> en la medida que deriva del ejercicio de sus facultades competencias o funciones; o bien, </w:t>
      </w:r>
      <w:r w:rsidR="005D5C4D" w:rsidRPr="005D5C4D">
        <w:rPr>
          <w:rFonts w:ascii="Lato" w:hAnsi="Lato" w:cs="Arial"/>
          <w:b/>
        </w:rPr>
        <w:t xml:space="preserve">previa la acreditación de la imposibilidad de su </w:t>
      </w:r>
      <w:r w:rsidR="005D5C4D">
        <w:rPr>
          <w:rFonts w:ascii="Lato" w:hAnsi="Lato" w:cs="Arial"/>
          <w:b/>
        </w:rPr>
        <w:t>reposición</w:t>
      </w:r>
      <w:r w:rsidR="005D5C4D" w:rsidRPr="005D5C4D">
        <w:rPr>
          <w:rFonts w:ascii="Lato" w:hAnsi="Lato" w:cs="Arial"/>
          <w:b/>
        </w:rPr>
        <w:t>,</w:t>
      </w:r>
      <w:r w:rsidR="005D5C4D">
        <w:rPr>
          <w:rFonts w:ascii="Lato" w:hAnsi="Lato" w:cs="Arial"/>
        </w:rPr>
        <w:t xml:space="preserve"> </w:t>
      </w:r>
      <w:r w:rsidR="005D5C4D" w:rsidRPr="00BE3239">
        <w:rPr>
          <w:rFonts w:ascii="Lato" w:hAnsi="Lato" w:cs="Arial"/>
          <w:b/>
        </w:rPr>
        <w:t>exponga de forma fundada y motivada, las razones por las cuales en el caso particular no ejerció dichas facultades</w:t>
      </w:r>
      <w:r w:rsidR="005D5C4D">
        <w:rPr>
          <w:rFonts w:ascii="Lato" w:hAnsi="Lato" w:cs="Arial"/>
        </w:rPr>
        <w:t>, competencias o funciones, lo cual notificará al solicitante a través de la Unidad de Transparencia.</w:t>
      </w:r>
    </w:p>
    <w:p w:rsidR="00721A5A" w:rsidRPr="00E14CAC" w:rsidRDefault="00721A5A" w:rsidP="00E14CAC">
      <w:pPr>
        <w:spacing w:line="348" w:lineRule="auto"/>
        <w:jc w:val="both"/>
        <w:rPr>
          <w:rFonts w:ascii="Lato" w:hAnsi="Lato" w:cs="Arial"/>
          <w:sz w:val="22"/>
        </w:rPr>
      </w:pPr>
    </w:p>
    <w:p w:rsidR="006C41DA" w:rsidRPr="006C41DA" w:rsidRDefault="006C41DA" w:rsidP="00E14CAC">
      <w:pPr>
        <w:spacing w:line="348" w:lineRule="auto"/>
        <w:jc w:val="both"/>
        <w:rPr>
          <w:rFonts w:ascii="Lato" w:hAnsi="Lato" w:cs="Arial"/>
        </w:rPr>
      </w:pPr>
      <w:r w:rsidRPr="006C41DA">
        <w:rPr>
          <w:rFonts w:ascii="Lato" w:hAnsi="Lato" w:cs="Arial"/>
          <w:b/>
        </w:rPr>
        <w:t xml:space="preserve">Notifíquese </w:t>
      </w:r>
      <w:r w:rsidRPr="006C41DA">
        <w:rPr>
          <w:rFonts w:ascii="Lato" w:hAnsi="Lato" w:cs="Arial"/>
        </w:rPr>
        <w:t>y entréguese copia de esta acta al solicitante, por conducto de la Unidad de Transparencia, junto con copia de la respuesta</w:t>
      </w:r>
      <w:r w:rsidR="00FA17CA">
        <w:rPr>
          <w:rFonts w:ascii="Lato" w:hAnsi="Lato" w:cs="Arial"/>
        </w:rPr>
        <w:t xml:space="preserve"> y sus anexos</w:t>
      </w:r>
      <w:r w:rsidRPr="006C41DA">
        <w:rPr>
          <w:rFonts w:ascii="Lato" w:hAnsi="Lato" w:cs="Arial"/>
        </w:rPr>
        <w:t xml:space="preserve">. Igualmente lo anterior deberá notificarse vía correo electrónico, por conducto de la Unidad de Transparencia, a la autoridad competente mencionada, para su </w:t>
      </w:r>
      <w:r w:rsidRPr="00C80A76">
        <w:rPr>
          <w:rFonts w:ascii="Lato" w:hAnsi="Lato" w:cs="Arial"/>
        </w:rPr>
        <w:t>conocimiento</w:t>
      </w:r>
      <w:r w:rsidR="00247B16" w:rsidRPr="00C80A76">
        <w:rPr>
          <w:rFonts w:ascii="Lato" w:hAnsi="Lato" w:cs="Arial"/>
        </w:rPr>
        <w:t xml:space="preserve">, </w:t>
      </w:r>
      <w:r w:rsidRPr="00C80A76">
        <w:rPr>
          <w:rFonts w:ascii="Lato" w:hAnsi="Lato" w:cs="Arial"/>
        </w:rPr>
        <w:t>fines</w:t>
      </w:r>
      <w:r w:rsidRPr="006C41DA">
        <w:rPr>
          <w:rFonts w:ascii="Lato" w:hAnsi="Lato" w:cs="Arial"/>
        </w:rPr>
        <w:t xml:space="preserve"> y efectos legales que correspondan. </w:t>
      </w:r>
    </w:p>
    <w:p w:rsidR="006C41DA" w:rsidRPr="00E14CAC" w:rsidRDefault="006C41DA" w:rsidP="00E14CAC">
      <w:pPr>
        <w:spacing w:line="348" w:lineRule="auto"/>
        <w:jc w:val="both"/>
        <w:rPr>
          <w:rFonts w:ascii="Lato" w:hAnsi="Lato" w:cs="Arial"/>
          <w:sz w:val="18"/>
        </w:rPr>
      </w:pPr>
    </w:p>
    <w:p w:rsidR="006C41DA" w:rsidRPr="006C41DA" w:rsidRDefault="006C41DA" w:rsidP="00E14CAC">
      <w:pPr>
        <w:spacing w:line="348" w:lineRule="auto"/>
        <w:jc w:val="both"/>
        <w:rPr>
          <w:rFonts w:ascii="Lato" w:hAnsi="Lato" w:cs="Arial"/>
        </w:rPr>
      </w:pPr>
      <w:r w:rsidRPr="006C41DA">
        <w:rPr>
          <w:rFonts w:ascii="Lato" w:hAnsi="Lato" w:cs="Arial"/>
        </w:rPr>
        <w:t>Sin otro asunto que tratar, se cierra esta sesión, si</w:t>
      </w:r>
      <w:r w:rsidR="00045FF9">
        <w:rPr>
          <w:rFonts w:ascii="Lato" w:hAnsi="Lato" w:cs="Arial"/>
        </w:rPr>
        <w:t>endo las catorce horas del día veintis</w:t>
      </w:r>
      <w:r w:rsidR="00BE3239">
        <w:rPr>
          <w:rFonts w:ascii="Lato" w:hAnsi="Lato" w:cs="Arial"/>
        </w:rPr>
        <w:t>iete</w:t>
      </w:r>
      <w:r w:rsidR="00045FF9">
        <w:rPr>
          <w:rFonts w:ascii="Lato" w:hAnsi="Lato" w:cs="Arial"/>
        </w:rPr>
        <w:t xml:space="preserve"> de abril de 2021.</w:t>
      </w:r>
    </w:p>
    <w:p w:rsidR="00247B16" w:rsidRPr="00E14CAC" w:rsidRDefault="00247B16" w:rsidP="00247B16">
      <w:pPr>
        <w:jc w:val="center"/>
        <w:rPr>
          <w:rFonts w:ascii="Lato" w:hAnsi="Lato" w:cs="Arial"/>
          <w:bCs/>
          <w:sz w:val="28"/>
        </w:rPr>
      </w:pPr>
    </w:p>
    <w:p w:rsidR="00247B16" w:rsidRPr="00E14CAC" w:rsidRDefault="00247B16" w:rsidP="00247B16">
      <w:pPr>
        <w:jc w:val="center"/>
        <w:rPr>
          <w:rFonts w:ascii="Lato" w:hAnsi="Lato" w:cs="Arial"/>
          <w:bCs/>
          <w:sz w:val="28"/>
        </w:rPr>
      </w:pPr>
    </w:p>
    <w:p w:rsidR="00247B16" w:rsidRPr="00E14CAC" w:rsidRDefault="00247B16" w:rsidP="00247B16">
      <w:pPr>
        <w:jc w:val="center"/>
        <w:rPr>
          <w:rFonts w:ascii="Lato" w:hAnsi="Lato" w:cs="Arial"/>
          <w:bCs/>
          <w:sz w:val="28"/>
        </w:rPr>
      </w:pPr>
    </w:p>
    <w:p w:rsidR="00247B16" w:rsidRPr="00E14CAC" w:rsidRDefault="00247B16" w:rsidP="00247B16">
      <w:pPr>
        <w:jc w:val="center"/>
        <w:rPr>
          <w:rFonts w:ascii="Lato" w:hAnsi="Lato" w:cs="Arial"/>
          <w:bCs/>
          <w:sz w:val="28"/>
        </w:rPr>
      </w:pPr>
    </w:p>
    <w:p w:rsidR="00045FF9" w:rsidRDefault="00045FF9" w:rsidP="00045FF9">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B47215" w:rsidRDefault="00B47215" w:rsidP="00B47215">
      <w:pPr>
        <w:jc w:val="center"/>
        <w:rPr>
          <w:rFonts w:ascii="Lato" w:hAnsi="Lato" w:cs="Arial"/>
          <w:bCs/>
        </w:rPr>
      </w:pPr>
    </w:p>
    <w:p w:rsidR="00E14CAC" w:rsidRDefault="00E14CAC" w:rsidP="00B47215">
      <w:pPr>
        <w:jc w:val="center"/>
        <w:rPr>
          <w:rFonts w:ascii="Lato" w:hAnsi="Lato" w:cs="Arial"/>
          <w:bCs/>
        </w:rPr>
      </w:pPr>
    </w:p>
    <w:p w:rsidR="00E14CAC" w:rsidRDefault="00E14CAC" w:rsidP="00B47215">
      <w:pPr>
        <w:jc w:val="center"/>
        <w:rPr>
          <w:rFonts w:ascii="Lato" w:hAnsi="Lato" w:cs="Arial"/>
          <w:bCs/>
        </w:rPr>
      </w:pPr>
    </w:p>
    <w:p w:rsidR="00E14CAC" w:rsidRDefault="00E14CAC" w:rsidP="00B47215">
      <w:pPr>
        <w:jc w:val="center"/>
        <w:rPr>
          <w:rFonts w:ascii="Lato" w:hAnsi="Lato" w:cs="Arial"/>
          <w:bCs/>
        </w:rPr>
      </w:pPr>
    </w:p>
    <w:p w:rsidR="00B47215" w:rsidRDefault="00B47215" w:rsidP="00B47215">
      <w:pPr>
        <w:jc w:val="center"/>
        <w:rPr>
          <w:rFonts w:ascii="Lato" w:hAnsi="Lato" w:cs="Arial"/>
          <w:bCs/>
        </w:rPr>
      </w:pPr>
    </w:p>
    <w:p w:rsidR="00B47215" w:rsidRDefault="00B47215" w:rsidP="00B47215">
      <w:pPr>
        <w:jc w:val="center"/>
        <w:rPr>
          <w:rFonts w:ascii="Lato" w:hAnsi="Lato" w:cs="Arial"/>
          <w:bCs/>
        </w:rPr>
      </w:pPr>
    </w:p>
    <w:p w:rsidR="00B47215" w:rsidRDefault="00045FF9" w:rsidP="00B47215">
      <w:pPr>
        <w:jc w:val="center"/>
        <w:rPr>
          <w:rFonts w:ascii="Lato" w:hAnsi="Lato" w:cs="Arial"/>
          <w:bCs/>
        </w:rPr>
      </w:pPr>
      <w:r>
        <w:rPr>
          <w:rFonts w:ascii="Lato" w:hAnsi="Lato" w:cs="Arial"/>
          <w:bCs/>
        </w:rPr>
        <w:t xml:space="preserve">MAGISTRADO NELSON ALONSO KIM SALAS </w:t>
      </w:r>
    </w:p>
    <w:p w:rsidR="00033625" w:rsidRDefault="00033625" w:rsidP="00033625">
      <w:pPr>
        <w:jc w:val="center"/>
        <w:rPr>
          <w:rFonts w:ascii="Lato" w:hAnsi="Lato" w:cs="Arial"/>
          <w:bCs/>
        </w:rPr>
      </w:pPr>
      <w:r>
        <w:rPr>
          <w:rFonts w:ascii="Lato" w:hAnsi="Lato" w:cs="Arial"/>
          <w:bCs/>
        </w:rPr>
        <w:t xml:space="preserve">Adscrito a la </w:t>
      </w:r>
      <w:r w:rsidR="00045FF9">
        <w:rPr>
          <w:rFonts w:ascii="Lato" w:hAnsi="Lato" w:cs="Arial"/>
          <w:bCs/>
        </w:rPr>
        <w:t>Cuarta</w:t>
      </w:r>
      <w:r>
        <w:rPr>
          <w:rFonts w:ascii="Lato" w:hAnsi="Lato" w:cs="Arial"/>
          <w:bCs/>
        </w:rPr>
        <w:t xml:space="preserve"> Sala del Tribunal Superior de Justicia</w:t>
      </w: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045FF9">
        <w:rPr>
          <w:rFonts w:ascii="Lato" w:hAnsi="Lato" w:cs="Arial"/>
          <w:bCs/>
        </w:rPr>
        <w:t>SANTIAGO ROMERO OSORIO</w:t>
      </w:r>
    </w:p>
    <w:p w:rsidR="00DF76A5" w:rsidRPr="007A2FA2" w:rsidRDefault="00045FF9" w:rsidP="00DF76A5">
      <w:pPr>
        <w:jc w:val="center"/>
        <w:rPr>
          <w:rFonts w:ascii="Lato" w:hAnsi="Lato" w:cs="Arial"/>
          <w:bCs/>
        </w:rPr>
      </w:pPr>
      <w:r>
        <w:rPr>
          <w:rFonts w:ascii="Lato" w:hAnsi="Lato" w:cs="Arial"/>
          <w:bCs/>
        </w:rPr>
        <w:t xml:space="preserve">Encargado de Despacho </w:t>
      </w:r>
      <w:r w:rsidR="00DF76A5" w:rsidRPr="007A2FA2">
        <w:rPr>
          <w:rFonts w:ascii="Lato" w:hAnsi="Lato" w:cs="Arial"/>
          <w:bCs/>
        </w:rPr>
        <w:t xml:space="preserve">de la Unidad Jurídica y Asesoría Interna </w:t>
      </w: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DF76A5" w:rsidRPr="007A2FA2" w:rsidRDefault="00351B53" w:rsidP="00DF76A5">
      <w:pPr>
        <w:jc w:val="center"/>
        <w:rPr>
          <w:rFonts w:ascii="Lato" w:hAnsi="Lato" w:cs="Arial"/>
          <w:bCs/>
        </w:rPr>
      </w:pPr>
      <w:r>
        <w:rPr>
          <w:rFonts w:ascii="Lato" w:hAnsi="Lato" w:cs="Arial"/>
          <w:bCs/>
        </w:rPr>
        <w:t>C.P. ROSA</w:t>
      </w:r>
      <w:r w:rsidR="00045FF9">
        <w:rPr>
          <w:rFonts w:ascii="Lato" w:hAnsi="Lato" w:cs="Arial"/>
          <w:bCs/>
        </w:rPr>
        <w:t xml:space="preserve"> MARÍA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E14CAC" w:rsidRDefault="00E14CAC" w:rsidP="00E14CAC">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E14CAC" w:rsidRDefault="00E14CAC" w:rsidP="00E14CAC">
      <w:pPr>
        <w:jc w:val="center"/>
        <w:rPr>
          <w:rFonts w:ascii="Lato" w:hAnsi="Lato"/>
          <w:sz w:val="20"/>
          <w:szCs w:val="20"/>
        </w:rPr>
      </w:pPr>
    </w:p>
    <w:p w:rsidR="00E14CAC" w:rsidRPr="00DF76A5" w:rsidRDefault="00E14CAC" w:rsidP="00D20A65">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E14CAC"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9E" w:rsidRDefault="008E209E" w:rsidP="00CC10D2">
      <w:r>
        <w:separator/>
      </w:r>
    </w:p>
  </w:endnote>
  <w:endnote w:type="continuationSeparator" w:id="0">
    <w:p w:rsidR="008E209E" w:rsidRDefault="008E209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045FF9">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045FF9">
            <w:rPr>
              <w:rFonts w:ascii="Lato" w:hAnsi="Lato" w:cs="Arial"/>
            </w:rPr>
            <w:t>CT/SE/28/2021</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80166" w:rsidRPr="00DA524A">
            <w:rPr>
              <w:rFonts w:ascii="Lato" w:hAnsi="Lato" w:cs="Arial"/>
            </w:rPr>
            <w:fldChar w:fldCharType="begin"/>
          </w:r>
          <w:r w:rsidRPr="00DA524A">
            <w:rPr>
              <w:rFonts w:ascii="Lato" w:hAnsi="Lato" w:cs="Arial"/>
            </w:rPr>
            <w:instrText xml:space="preserve"> PAGE   \* MERGEFORMAT </w:instrText>
          </w:r>
          <w:r w:rsidR="00680166" w:rsidRPr="00DA524A">
            <w:rPr>
              <w:rFonts w:ascii="Lato" w:hAnsi="Lato" w:cs="Arial"/>
            </w:rPr>
            <w:fldChar w:fldCharType="separate"/>
          </w:r>
          <w:r w:rsidR="00565E22">
            <w:rPr>
              <w:rFonts w:ascii="Lato" w:hAnsi="Lato" w:cs="Arial"/>
              <w:noProof/>
            </w:rPr>
            <w:t>7</w:t>
          </w:r>
          <w:r w:rsidR="00680166" w:rsidRPr="00DA524A">
            <w:rPr>
              <w:rFonts w:ascii="Lato" w:hAnsi="Lato" w:cs="Arial"/>
            </w:rPr>
            <w:fldChar w:fldCharType="end"/>
          </w:r>
          <w:r w:rsidRPr="00DA524A">
            <w:rPr>
              <w:rFonts w:ascii="Lato" w:hAnsi="Lato" w:cs="Arial"/>
            </w:rPr>
            <w:t xml:space="preserve"> de </w:t>
          </w:r>
          <w:fldSimple w:instr=" NUMPAGES   \* MERGEFORMAT ">
            <w:r w:rsidR="00565E22" w:rsidRPr="00565E22">
              <w:rPr>
                <w:rFonts w:ascii="Lato" w:hAnsi="Lato" w:cs="Arial"/>
                <w:noProof/>
              </w:rPr>
              <w:t>7</w:t>
            </w:r>
          </w:fldSimple>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045FF9">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045FF9">
            <w:rPr>
              <w:rFonts w:ascii="Lato" w:hAnsi="Lato" w:cs="Arial"/>
            </w:rPr>
            <w:t>CT/SE/28/2021</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80166" w:rsidRPr="00DA524A">
            <w:rPr>
              <w:rFonts w:ascii="Lato" w:hAnsi="Lato" w:cs="Arial"/>
            </w:rPr>
            <w:fldChar w:fldCharType="begin"/>
          </w:r>
          <w:r w:rsidRPr="00DA524A">
            <w:rPr>
              <w:rFonts w:ascii="Lato" w:hAnsi="Lato" w:cs="Arial"/>
            </w:rPr>
            <w:instrText xml:space="preserve"> PAGE   \* MERGEFORMAT </w:instrText>
          </w:r>
          <w:r w:rsidR="00680166" w:rsidRPr="00DA524A">
            <w:rPr>
              <w:rFonts w:ascii="Lato" w:hAnsi="Lato" w:cs="Arial"/>
            </w:rPr>
            <w:fldChar w:fldCharType="separate"/>
          </w:r>
          <w:r w:rsidR="00565E22">
            <w:rPr>
              <w:rFonts w:ascii="Lato" w:hAnsi="Lato" w:cs="Arial"/>
              <w:noProof/>
            </w:rPr>
            <w:t>1</w:t>
          </w:r>
          <w:r w:rsidR="00680166" w:rsidRPr="00DA524A">
            <w:rPr>
              <w:rFonts w:ascii="Lato" w:hAnsi="Lato" w:cs="Arial"/>
            </w:rPr>
            <w:fldChar w:fldCharType="end"/>
          </w:r>
          <w:r w:rsidRPr="00DA524A">
            <w:rPr>
              <w:rFonts w:ascii="Lato" w:hAnsi="Lato" w:cs="Arial"/>
            </w:rPr>
            <w:t xml:space="preserve"> de </w:t>
          </w:r>
          <w:fldSimple w:instr=" NUMPAGES   \* MERGEFORMAT ">
            <w:r w:rsidR="00565E22" w:rsidRPr="00565E22">
              <w:rPr>
                <w:rFonts w:ascii="Lato" w:hAnsi="Lato" w:cs="Arial"/>
                <w:noProof/>
              </w:rPr>
              <w:t>7</w:t>
            </w:r>
          </w:fldSimple>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9E" w:rsidRDefault="008E209E" w:rsidP="00CC10D2">
      <w:r>
        <w:separator/>
      </w:r>
    </w:p>
  </w:footnote>
  <w:footnote w:type="continuationSeparator" w:id="0">
    <w:p w:rsidR="008E209E" w:rsidRDefault="008E209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1">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07234"/>
    <w:rsid w:val="00033625"/>
    <w:rsid w:val="00036FC5"/>
    <w:rsid w:val="00045FF9"/>
    <w:rsid w:val="00047466"/>
    <w:rsid w:val="0005266A"/>
    <w:rsid w:val="00053985"/>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C229A"/>
    <w:rsid w:val="000C5B30"/>
    <w:rsid w:val="000C6F93"/>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75E3"/>
    <w:rsid w:val="00170C45"/>
    <w:rsid w:val="0017599C"/>
    <w:rsid w:val="00175C57"/>
    <w:rsid w:val="0017743B"/>
    <w:rsid w:val="001C21B1"/>
    <w:rsid w:val="001C5269"/>
    <w:rsid w:val="001D04F4"/>
    <w:rsid w:val="001D0CE6"/>
    <w:rsid w:val="001D1513"/>
    <w:rsid w:val="001E0A87"/>
    <w:rsid w:val="001E1D0F"/>
    <w:rsid w:val="001E46D1"/>
    <w:rsid w:val="001E59A6"/>
    <w:rsid w:val="001E6750"/>
    <w:rsid w:val="001E7AE5"/>
    <w:rsid w:val="001F0150"/>
    <w:rsid w:val="001F2757"/>
    <w:rsid w:val="00205B99"/>
    <w:rsid w:val="00207BB8"/>
    <w:rsid w:val="0021452A"/>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B0C"/>
    <w:rsid w:val="00273B1D"/>
    <w:rsid w:val="002806FF"/>
    <w:rsid w:val="00291782"/>
    <w:rsid w:val="00295B4E"/>
    <w:rsid w:val="00297C33"/>
    <w:rsid w:val="002A1D13"/>
    <w:rsid w:val="002A516B"/>
    <w:rsid w:val="002A5914"/>
    <w:rsid w:val="002A72FC"/>
    <w:rsid w:val="002A7385"/>
    <w:rsid w:val="002B5988"/>
    <w:rsid w:val="002B5DEE"/>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E6D"/>
    <w:rsid w:val="00326026"/>
    <w:rsid w:val="003301FE"/>
    <w:rsid w:val="0033132C"/>
    <w:rsid w:val="00331BE6"/>
    <w:rsid w:val="003346D8"/>
    <w:rsid w:val="0033553B"/>
    <w:rsid w:val="00343754"/>
    <w:rsid w:val="003519B7"/>
    <w:rsid w:val="00351B53"/>
    <w:rsid w:val="003658D9"/>
    <w:rsid w:val="00367903"/>
    <w:rsid w:val="00367D01"/>
    <w:rsid w:val="0037137C"/>
    <w:rsid w:val="0038336B"/>
    <w:rsid w:val="003835FE"/>
    <w:rsid w:val="00383EA7"/>
    <w:rsid w:val="00385B68"/>
    <w:rsid w:val="00387157"/>
    <w:rsid w:val="00397E4C"/>
    <w:rsid w:val="003A6885"/>
    <w:rsid w:val="003A7045"/>
    <w:rsid w:val="003A7596"/>
    <w:rsid w:val="003B2854"/>
    <w:rsid w:val="003B72C7"/>
    <w:rsid w:val="003C30F1"/>
    <w:rsid w:val="003D0EF4"/>
    <w:rsid w:val="003D2FEF"/>
    <w:rsid w:val="003D4B99"/>
    <w:rsid w:val="003D4BE3"/>
    <w:rsid w:val="003D4CBA"/>
    <w:rsid w:val="003E1909"/>
    <w:rsid w:val="003E2294"/>
    <w:rsid w:val="003F0846"/>
    <w:rsid w:val="0040466C"/>
    <w:rsid w:val="00405A1C"/>
    <w:rsid w:val="004108AE"/>
    <w:rsid w:val="004177AF"/>
    <w:rsid w:val="00423AE2"/>
    <w:rsid w:val="00432848"/>
    <w:rsid w:val="0043380F"/>
    <w:rsid w:val="004350F7"/>
    <w:rsid w:val="00444444"/>
    <w:rsid w:val="00445058"/>
    <w:rsid w:val="0045071C"/>
    <w:rsid w:val="00460FED"/>
    <w:rsid w:val="00467770"/>
    <w:rsid w:val="00472CC9"/>
    <w:rsid w:val="00474D4D"/>
    <w:rsid w:val="00482D27"/>
    <w:rsid w:val="00483F8F"/>
    <w:rsid w:val="00490810"/>
    <w:rsid w:val="004A2A3A"/>
    <w:rsid w:val="004B0D0D"/>
    <w:rsid w:val="004B13EF"/>
    <w:rsid w:val="004B47A1"/>
    <w:rsid w:val="004B6AB4"/>
    <w:rsid w:val="004C0187"/>
    <w:rsid w:val="004D1E22"/>
    <w:rsid w:val="004D2D18"/>
    <w:rsid w:val="004D4F59"/>
    <w:rsid w:val="004D7EC1"/>
    <w:rsid w:val="004E3AA8"/>
    <w:rsid w:val="004E4631"/>
    <w:rsid w:val="004E79E7"/>
    <w:rsid w:val="004F063D"/>
    <w:rsid w:val="004F5386"/>
    <w:rsid w:val="004F700D"/>
    <w:rsid w:val="004F7B48"/>
    <w:rsid w:val="0050038F"/>
    <w:rsid w:val="00503DA5"/>
    <w:rsid w:val="0050644E"/>
    <w:rsid w:val="005070F2"/>
    <w:rsid w:val="00507B04"/>
    <w:rsid w:val="0051010A"/>
    <w:rsid w:val="005157B0"/>
    <w:rsid w:val="00520E9F"/>
    <w:rsid w:val="0052702D"/>
    <w:rsid w:val="005304C5"/>
    <w:rsid w:val="005357C8"/>
    <w:rsid w:val="00541BAD"/>
    <w:rsid w:val="005524D4"/>
    <w:rsid w:val="0055409E"/>
    <w:rsid w:val="0055579B"/>
    <w:rsid w:val="00560791"/>
    <w:rsid w:val="00565E22"/>
    <w:rsid w:val="00577A2D"/>
    <w:rsid w:val="005A4870"/>
    <w:rsid w:val="005B5910"/>
    <w:rsid w:val="005C3AE4"/>
    <w:rsid w:val="005C5C55"/>
    <w:rsid w:val="005D1DF6"/>
    <w:rsid w:val="005D5C4D"/>
    <w:rsid w:val="005E63D4"/>
    <w:rsid w:val="00601175"/>
    <w:rsid w:val="006023D3"/>
    <w:rsid w:val="0060496B"/>
    <w:rsid w:val="00607CC2"/>
    <w:rsid w:val="006208CB"/>
    <w:rsid w:val="00620E2D"/>
    <w:rsid w:val="00636EDC"/>
    <w:rsid w:val="00640507"/>
    <w:rsid w:val="00640D3C"/>
    <w:rsid w:val="00642A6E"/>
    <w:rsid w:val="006438BE"/>
    <w:rsid w:val="006475F0"/>
    <w:rsid w:val="00652952"/>
    <w:rsid w:val="00653FD8"/>
    <w:rsid w:val="00664789"/>
    <w:rsid w:val="0066482F"/>
    <w:rsid w:val="00666728"/>
    <w:rsid w:val="00671E47"/>
    <w:rsid w:val="00672F3D"/>
    <w:rsid w:val="00680166"/>
    <w:rsid w:val="006840D7"/>
    <w:rsid w:val="00686C4B"/>
    <w:rsid w:val="00691712"/>
    <w:rsid w:val="00694381"/>
    <w:rsid w:val="006A1F65"/>
    <w:rsid w:val="006B408F"/>
    <w:rsid w:val="006C41DA"/>
    <w:rsid w:val="006D3AA3"/>
    <w:rsid w:val="006E19BA"/>
    <w:rsid w:val="006E3F07"/>
    <w:rsid w:val="006F67F4"/>
    <w:rsid w:val="00702082"/>
    <w:rsid w:val="00705936"/>
    <w:rsid w:val="007071B0"/>
    <w:rsid w:val="00711DC8"/>
    <w:rsid w:val="00713670"/>
    <w:rsid w:val="0071662E"/>
    <w:rsid w:val="00716AD1"/>
    <w:rsid w:val="00721A5A"/>
    <w:rsid w:val="00722F69"/>
    <w:rsid w:val="00730719"/>
    <w:rsid w:val="0073441C"/>
    <w:rsid w:val="007356C3"/>
    <w:rsid w:val="00737E4C"/>
    <w:rsid w:val="00740BB7"/>
    <w:rsid w:val="0074626F"/>
    <w:rsid w:val="00746A72"/>
    <w:rsid w:val="00752C1F"/>
    <w:rsid w:val="00757129"/>
    <w:rsid w:val="00766007"/>
    <w:rsid w:val="0077288D"/>
    <w:rsid w:val="00782080"/>
    <w:rsid w:val="0078311C"/>
    <w:rsid w:val="0078628F"/>
    <w:rsid w:val="007903E0"/>
    <w:rsid w:val="007937F7"/>
    <w:rsid w:val="007A7B81"/>
    <w:rsid w:val="007B04A9"/>
    <w:rsid w:val="007B5C82"/>
    <w:rsid w:val="007C1908"/>
    <w:rsid w:val="007C78FD"/>
    <w:rsid w:val="007D0EA7"/>
    <w:rsid w:val="007D2521"/>
    <w:rsid w:val="007D43D1"/>
    <w:rsid w:val="007E2058"/>
    <w:rsid w:val="007F2222"/>
    <w:rsid w:val="007F3526"/>
    <w:rsid w:val="007F5F5E"/>
    <w:rsid w:val="007F5FA9"/>
    <w:rsid w:val="007F76E2"/>
    <w:rsid w:val="00803B71"/>
    <w:rsid w:val="00806B7E"/>
    <w:rsid w:val="00807264"/>
    <w:rsid w:val="008201EC"/>
    <w:rsid w:val="00822F3C"/>
    <w:rsid w:val="00824E24"/>
    <w:rsid w:val="00831D00"/>
    <w:rsid w:val="00833199"/>
    <w:rsid w:val="008338DC"/>
    <w:rsid w:val="00836D58"/>
    <w:rsid w:val="00843284"/>
    <w:rsid w:val="00844AB4"/>
    <w:rsid w:val="008600DF"/>
    <w:rsid w:val="0086420D"/>
    <w:rsid w:val="00872D29"/>
    <w:rsid w:val="008733BC"/>
    <w:rsid w:val="00875867"/>
    <w:rsid w:val="008765F6"/>
    <w:rsid w:val="00883E6E"/>
    <w:rsid w:val="008849E9"/>
    <w:rsid w:val="00890668"/>
    <w:rsid w:val="0089138E"/>
    <w:rsid w:val="00894996"/>
    <w:rsid w:val="008A04DF"/>
    <w:rsid w:val="008A1794"/>
    <w:rsid w:val="008B19C4"/>
    <w:rsid w:val="008C26EB"/>
    <w:rsid w:val="008C2B10"/>
    <w:rsid w:val="008C3061"/>
    <w:rsid w:val="008C7926"/>
    <w:rsid w:val="008E209E"/>
    <w:rsid w:val="008E637B"/>
    <w:rsid w:val="008F3A11"/>
    <w:rsid w:val="008F71CC"/>
    <w:rsid w:val="00911D34"/>
    <w:rsid w:val="00912682"/>
    <w:rsid w:val="00920EF1"/>
    <w:rsid w:val="009236BE"/>
    <w:rsid w:val="00934328"/>
    <w:rsid w:val="00936FAA"/>
    <w:rsid w:val="00942AD6"/>
    <w:rsid w:val="00951EBE"/>
    <w:rsid w:val="00966533"/>
    <w:rsid w:val="009667D9"/>
    <w:rsid w:val="00976A08"/>
    <w:rsid w:val="009A0ABC"/>
    <w:rsid w:val="009A3124"/>
    <w:rsid w:val="009D065E"/>
    <w:rsid w:val="009D19C0"/>
    <w:rsid w:val="009D285C"/>
    <w:rsid w:val="009D5743"/>
    <w:rsid w:val="009D6A30"/>
    <w:rsid w:val="009E2971"/>
    <w:rsid w:val="009E40BD"/>
    <w:rsid w:val="009E40C1"/>
    <w:rsid w:val="009E4EF3"/>
    <w:rsid w:val="009E7396"/>
    <w:rsid w:val="009E799C"/>
    <w:rsid w:val="00A031C9"/>
    <w:rsid w:val="00A1042A"/>
    <w:rsid w:val="00A13591"/>
    <w:rsid w:val="00A14909"/>
    <w:rsid w:val="00A21BBA"/>
    <w:rsid w:val="00A21C6B"/>
    <w:rsid w:val="00A26E01"/>
    <w:rsid w:val="00A33EC8"/>
    <w:rsid w:val="00A34797"/>
    <w:rsid w:val="00A35379"/>
    <w:rsid w:val="00A430B9"/>
    <w:rsid w:val="00A50A4B"/>
    <w:rsid w:val="00A5144C"/>
    <w:rsid w:val="00A62687"/>
    <w:rsid w:val="00A629F1"/>
    <w:rsid w:val="00A756ED"/>
    <w:rsid w:val="00A91E46"/>
    <w:rsid w:val="00A9206D"/>
    <w:rsid w:val="00AA4B00"/>
    <w:rsid w:val="00AA55DC"/>
    <w:rsid w:val="00AA5D1C"/>
    <w:rsid w:val="00AB0530"/>
    <w:rsid w:val="00AB6672"/>
    <w:rsid w:val="00AB79DC"/>
    <w:rsid w:val="00AC58A0"/>
    <w:rsid w:val="00AC7869"/>
    <w:rsid w:val="00AD6611"/>
    <w:rsid w:val="00AE104C"/>
    <w:rsid w:val="00AF227B"/>
    <w:rsid w:val="00AF3105"/>
    <w:rsid w:val="00AF4428"/>
    <w:rsid w:val="00AF7296"/>
    <w:rsid w:val="00B04413"/>
    <w:rsid w:val="00B07A6A"/>
    <w:rsid w:val="00B1314C"/>
    <w:rsid w:val="00B30521"/>
    <w:rsid w:val="00B43541"/>
    <w:rsid w:val="00B44464"/>
    <w:rsid w:val="00B47210"/>
    <w:rsid w:val="00B47215"/>
    <w:rsid w:val="00B473B3"/>
    <w:rsid w:val="00B50AB7"/>
    <w:rsid w:val="00B63DC7"/>
    <w:rsid w:val="00B71665"/>
    <w:rsid w:val="00B7250E"/>
    <w:rsid w:val="00B75A5E"/>
    <w:rsid w:val="00B853EE"/>
    <w:rsid w:val="00B96AF0"/>
    <w:rsid w:val="00BA36F3"/>
    <w:rsid w:val="00BA3A61"/>
    <w:rsid w:val="00BA5C77"/>
    <w:rsid w:val="00BA7BBD"/>
    <w:rsid w:val="00BC016D"/>
    <w:rsid w:val="00BD035B"/>
    <w:rsid w:val="00BD166C"/>
    <w:rsid w:val="00BE1241"/>
    <w:rsid w:val="00BE3239"/>
    <w:rsid w:val="00BE5895"/>
    <w:rsid w:val="00BF0C64"/>
    <w:rsid w:val="00C10A30"/>
    <w:rsid w:val="00C17301"/>
    <w:rsid w:val="00C175EA"/>
    <w:rsid w:val="00C25C7D"/>
    <w:rsid w:val="00C31213"/>
    <w:rsid w:val="00C329C9"/>
    <w:rsid w:val="00C40EEC"/>
    <w:rsid w:val="00C41EAC"/>
    <w:rsid w:val="00C45056"/>
    <w:rsid w:val="00C50243"/>
    <w:rsid w:val="00C523C4"/>
    <w:rsid w:val="00C5258D"/>
    <w:rsid w:val="00C63C55"/>
    <w:rsid w:val="00C64449"/>
    <w:rsid w:val="00C660AF"/>
    <w:rsid w:val="00C67F8D"/>
    <w:rsid w:val="00C7162C"/>
    <w:rsid w:val="00C76CAA"/>
    <w:rsid w:val="00C77586"/>
    <w:rsid w:val="00C80A76"/>
    <w:rsid w:val="00C870B5"/>
    <w:rsid w:val="00C92ADA"/>
    <w:rsid w:val="00C97627"/>
    <w:rsid w:val="00CA123A"/>
    <w:rsid w:val="00CA1574"/>
    <w:rsid w:val="00CA4BE4"/>
    <w:rsid w:val="00CA6485"/>
    <w:rsid w:val="00CC10D2"/>
    <w:rsid w:val="00CC3D2E"/>
    <w:rsid w:val="00CE2CC9"/>
    <w:rsid w:val="00CE4995"/>
    <w:rsid w:val="00CE64F1"/>
    <w:rsid w:val="00CE78CA"/>
    <w:rsid w:val="00CF037E"/>
    <w:rsid w:val="00CF1ABD"/>
    <w:rsid w:val="00CF6930"/>
    <w:rsid w:val="00D05C07"/>
    <w:rsid w:val="00D06A23"/>
    <w:rsid w:val="00D074D1"/>
    <w:rsid w:val="00D1389B"/>
    <w:rsid w:val="00D14788"/>
    <w:rsid w:val="00D20A65"/>
    <w:rsid w:val="00D3009D"/>
    <w:rsid w:val="00D319AA"/>
    <w:rsid w:val="00D31A6A"/>
    <w:rsid w:val="00D332B3"/>
    <w:rsid w:val="00D45E18"/>
    <w:rsid w:val="00D50819"/>
    <w:rsid w:val="00D53518"/>
    <w:rsid w:val="00D535D5"/>
    <w:rsid w:val="00D55416"/>
    <w:rsid w:val="00D60B3B"/>
    <w:rsid w:val="00D65F77"/>
    <w:rsid w:val="00D82424"/>
    <w:rsid w:val="00D8738B"/>
    <w:rsid w:val="00D87758"/>
    <w:rsid w:val="00D9124A"/>
    <w:rsid w:val="00D96376"/>
    <w:rsid w:val="00D96599"/>
    <w:rsid w:val="00DA524A"/>
    <w:rsid w:val="00DA5275"/>
    <w:rsid w:val="00DB37EB"/>
    <w:rsid w:val="00DB56C6"/>
    <w:rsid w:val="00DB58AE"/>
    <w:rsid w:val="00DC0613"/>
    <w:rsid w:val="00DC3364"/>
    <w:rsid w:val="00DC6D0F"/>
    <w:rsid w:val="00DD49CF"/>
    <w:rsid w:val="00DD512C"/>
    <w:rsid w:val="00DD711C"/>
    <w:rsid w:val="00DE379F"/>
    <w:rsid w:val="00DE58B1"/>
    <w:rsid w:val="00DE6F15"/>
    <w:rsid w:val="00DE78D6"/>
    <w:rsid w:val="00DF76A5"/>
    <w:rsid w:val="00E14CAC"/>
    <w:rsid w:val="00E1664C"/>
    <w:rsid w:val="00E17EF2"/>
    <w:rsid w:val="00E22003"/>
    <w:rsid w:val="00E22361"/>
    <w:rsid w:val="00E308EB"/>
    <w:rsid w:val="00E317C4"/>
    <w:rsid w:val="00E3210D"/>
    <w:rsid w:val="00E4351E"/>
    <w:rsid w:val="00E435A2"/>
    <w:rsid w:val="00E45AD2"/>
    <w:rsid w:val="00E50918"/>
    <w:rsid w:val="00E50CD3"/>
    <w:rsid w:val="00E60460"/>
    <w:rsid w:val="00E63EA5"/>
    <w:rsid w:val="00E719A1"/>
    <w:rsid w:val="00E72E24"/>
    <w:rsid w:val="00E73129"/>
    <w:rsid w:val="00E82032"/>
    <w:rsid w:val="00E829D3"/>
    <w:rsid w:val="00E8536E"/>
    <w:rsid w:val="00E86187"/>
    <w:rsid w:val="00E95217"/>
    <w:rsid w:val="00EA0EAF"/>
    <w:rsid w:val="00EA2C81"/>
    <w:rsid w:val="00EA2D0E"/>
    <w:rsid w:val="00EB20A0"/>
    <w:rsid w:val="00EB3E15"/>
    <w:rsid w:val="00EB7052"/>
    <w:rsid w:val="00EC3CD7"/>
    <w:rsid w:val="00EC4E90"/>
    <w:rsid w:val="00EC6885"/>
    <w:rsid w:val="00EC794D"/>
    <w:rsid w:val="00ED265E"/>
    <w:rsid w:val="00ED4EAF"/>
    <w:rsid w:val="00EE19C5"/>
    <w:rsid w:val="00EE19FB"/>
    <w:rsid w:val="00EF3EF5"/>
    <w:rsid w:val="00EF54A8"/>
    <w:rsid w:val="00F001CA"/>
    <w:rsid w:val="00F03113"/>
    <w:rsid w:val="00F03D79"/>
    <w:rsid w:val="00F1362F"/>
    <w:rsid w:val="00F14644"/>
    <w:rsid w:val="00F17A58"/>
    <w:rsid w:val="00F214EB"/>
    <w:rsid w:val="00F21F27"/>
    <w:rsid w:val="00F27B98"/>
    <w:rsid w:val="00F32058"/>
    <w:rsid w:val="00F33E61"/>
    <w:rsid w:val="00F359DA"/>
    <w:rsid w:val="00F42394"/>
    <w:rsid w:val="00F4334D"/>
    <w:rsid w:val="00F438E9"/>
    <w:rsid w:val="00F4539C"/>
    <w:rsid w:val="00F4661C"/>
    <w:rsid w:val="00F50228"/>
    <w:rsid w:val="00F63BFE"/>
    <w:rsid w:val="00F720D3"/>
    <w:rsid w:val="00F763DD"/>
    <w:rsid w:val="00F76453"/>
    <w:rsid w:val="00F76E56"/>
    <w:rsid w:val="00F82004"/>
    <w:rsid w:val="00F82D8F"/>
    <w:rsid w:val="00F865FE"/>
    <w:rsid w:val="00F86805"/>
    <w:rsid w:val="00F9104E"/>
    <w:rsid w:val="00F91647"/>
    <w:rsid w:val="00F93103"/>
    <w:rsid w:val="00F932C2"/>
    <w:rsid w:val="00F971C4"/>
    <w:rsid w:val="00F97456"/>
    <w:rsid w:val="00FA17CA"/>
    <w:rsid w:val="00FA194D"/>
    <w:rsid w:val="00FA3E18"/>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58AF9-7136-44C9-B4FB-2BFEAF65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11814</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2021-04-28T17:17:00Z</cp:lastPrinted>
  <dcterms:created xsi:type="dcterms:W3CDTF">2021-04-28T17:17:00Z</dcterms:created>
  <dcterms:modified xsi:type="dcterms:W3CDTF">2021-04-28T17:17:00Z</dcterms:modified>
</cp:coreProperties>
</file>