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D370E1" w:rsidRDefault="00DA524A" w:rsidP="00F50228">
      <w:pPr>
        <w:spacing w:line="360" w:lineRule="auto"/>
        <w:jc w:val="both"/>
        <w:rPr>
          <w:rFonts w:ascii="Lato" w:hAnsi="Lato" w:cs="Arial"/>
          <w:sz w:val="18"/>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E5504B">
        <w:rPr>
          <w:rFonts w:ascii="Lato" w:hAnsi="Lato" w:cs="Arial"/>
          <w:b/>
        </w:rPr>
        <w:t>CT/SE/</w:t>
      </w:r>
      <w:r w:rsidR="00125A42">
        <w:rPr>
          <w:rFonts w:ascii="Lato" w:hAnsi="Lato" w:cs="Arial"/>
          <w:b/>
        </w:rPr>
        <w:t>22</w:t>
      </w:r>
      <w:r w:rsidR="00CD244E" w:rsidRPr="00CD244E">
        <w:rPr>
          <w:rFonts w:ascii="Lato" w:hAnsi="Lato" w:cs="Arial"/>
          <w:b/>
        </w:rPr>
        <w:t>/202</w:t>
      </w:r>
      <w:r w:rsidR="00125A42">
        <w:rPr>
          <w:rFonts w:ascii="Lato" w:hAnsi="Lato" w:cs="Arial"/>
          <w:b/>
        </w:rPr>
        <w:t>2</w:t>
      </w:r>
    </w:p>
    <w:p w:rsidR="00DF76A5" w:rsidRPr="00D370E1" w:rsidRDefault="00DF76A5" w:rsidP="00F50228">
      <w:pPr>
        <w:spacing w:line="360" w:lineRule="auto"/>
        <w:jc w:val="both"/>
        <w:rPr>
          <w:rFonts w:ascii="Lato" w:hAnsi="Lato" w:cs="Arial"/>
          <w:sz w:val="18"/>
        </w:rPr>
      </w:pPr>
    </w:p>
    <w:p w:rsidR="001A16A1" w:rsidRPr="007A2FA2" w:rsidRDefault="001A16A1" w:rsidP="00DD52C1">
      <w:pPr>
        <w:spacing w:before="60" w:line="336"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125A42">
        <w:rPr>
          <w:rFonts w:ascii="Lato" w:hAnsi="Lato" w:cs="Arial"/>
        </w:rPr>
        <w:t xml:space="preserve">dieciocho </w:t>
      </w:r>
      <w:r w:rsidR="00FA2248">
        <w:rPr>
          <w:rFonts w:ascii="Lato" w:hAnsi="Lato" w:cs="Arial"/>
        </w:rPr>
        <w:t xml:space="preserve">de </w:t>
      </w:r>
      <w:r w:rsidR="00125A42">
        <w:rPr>
          <w:rFonts w:ascii="Lato" w:hAnsi="Lato" w:cs="Arial"/>
        </w:rPr>
        <w:t xml:space="preserve">abril </w:t>
      </w:r>
      <w:r>
        <w:rPr>
          <w:rFonts w:ascii="Lato" w:hAnsi="Lato" w:cs="Arial"/>
        </w:rPr>
        <w:t>de dos mil veinti</w:t>
      </w:r>
      <w:r w:rsidR="00125A42">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125A42">
        <w:rPr>
          <w:rFonts w:ascii="Lato" w:hAnsi="Lato" w:cs="Arial"/>
        </w:rPr>
        <w:t>Director</w:t>
      </w:r>
      <w:r>
        <w:rPr>
          <w:rFonts w:ascii="Lato" w:hAnsi="Lato" w:cs="Arial"/>
        </w:rPr>
        <w:t xml:space="preserve">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125A42">
        <w:rPr>
          <w:rFonts w:ascii="Lato" w:hAnsi="Lato" w:cs="Arial"/>
        </w:rPr>
        <w:t>la sesión extraordinaria CT/SE/22</w:t>
      </w:r>
      <w:r w:rsidRPr="007A2FA2">
        <w:rPr>
          <w:rFonts w:ascii="Lato" w:hAnsi="Lato" w:cs="Arial"/>
        </w:rPr>
        <w:t>/</w:t>
      </w:r>
      <w:r>
        <w:rPr>
          <w:rFonts w:ascii="Lato" w:hAnsi="Lato" w:cs="Arial"/>
        </w:rPr>
        <w:t>202</w:t>
      </w:r>
      <w:r w:rsidR="00125A42">
        <w:rPr>
          <w:rFonts w:ascii="Lato" w:hAnsi="Lato" w:cs="Arial"/>
        </w:rPr>
        <w:t>2</w:t>
      </w:r>
      <w:r w:rsidRPr="007A2FA2">
        <w:rPr>
          <w:rFonts w:ascii="Lato" w:hAnsi="Lato" w:cs="Arial"/>
        </w:rPr>
        <w:t xml:space="preserve">. </w:t>
      </w:r>
    </w:p>
    <w:p w:rsidR="001A16A1" w:rsidRPr="00C96757" w:rsidRDefault="001A16A1" w:rsidP="00DD52C1">
      <w:pPr>
        <w:spacing w:before="60" w:line="336" w:lineRule="auto"/>
        <w:jc w:val="both"/>
        <w:rPr>
          <w:rFonts w:ascii="Lato" w:hAnsi="Lato" w:cs="Arial"/>
          <w:sz w:val="10"/>
        </w:rPr>
      </w:pPr>
    </w:p>
    <w:p w:rsidR="001A16A1" w:rsidRDefault="001A16A1" w:rsidP="00DD52C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Pr="00D370E1" w:rsidRDefault="001A16A1" w:rsidP="00DD52C1">
      <w:pPr>
        <w:spacing w:line="336" w:lineRule="auto"/>
        <w:jc w:val="both"/>
        <w:rPr>
          <w:rFonts w:ascii="Lato" w:hAnsi="Lato" w:cs="Arial"/>
          <w:sz w:val="18"/>
        </w:rPr>
      </w:pPr>
    </w:p>
    <w:p w:rsidR="00CD244E" w:rsidRDefault="00D8738B" w:rsidP="00DD52C1">
      <w:pPr>
        <w:spacing w:line="336" w:lineRule="auto"/>
        <w:jc w:val="center"/>
        <w:rPr>
          <w:rFonts w:ascii="Lato" w:hAnsi="Lato" w:cs="Arial"/>
        </w:rPr>
      </w:pPr>
      <w:r w:rsidRPr="00D8738B">
        <w:rPr>
          <w:rFonts w:ascii="Lato" w:hAnsi="Lato" w:cs="Arial"/>
        </w:rPr>
        <w:t>ORDEN DEL DÍA</w:t>
      </w:r>
    </w:p>
    <w:p w:rsidR="00DD52C1" w:rsidRPr="00DD52C1" w:rsidRDefault="00DD52C1" w:rsidP="00DD52C1">
      <w:pPr>
        <w:spacing w:line="336" w:lineRule="auto"/>
        <w:jc w:val="center"/>
        <w:rPr>
          <w:rFonts w:ascii="Lato" w:hAnsi="Lato" w:cs="Arial"/>
          <w:sz w:val="20"/>
        </w:rPr>
      </w:pPr>
    </w:p>
    <w:p w:rsidR="00D8738B" w:rsidRPr="00D8738B" w:rsidRDefault="00D8738B" w:rsidP="00DD52C1">
      <w:pPr>
        <w:pStyle w:val="Prrafodelista"/>
        <w:numPr>
          <w:ilvl w:val="0"/>
          <w:numId w:val="1"/>
        </w:numPr>
        <w:spacing w:after="0" w:line="336"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D52C1">
      <w:pPr>
        <w:pStyle w:val="Prrafodelista"/>
        <w:spacing w:after="0" w:line="336"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CD244E" w:rsidRPr="00D370E1" w:rsidRDefault="00D8738B" w:rsidP="00DD52C1">
      <w:pPr>
        <w:pStyle w:val="Prrafodelista"/>
        <w:numPr>
          <w:ilvl w:val="0"/>
          <w:numId w:val="1"/>
        </w:numPr>
        <w:spacing w:after="0" w:line="336" w:lineRule="auto"/>
        <w:jc w:val="both"/>
        <w:rPr>
          <w:rFonts w:ascii="Lato" w:hAnsi="Lato" w:cs="Arial"/>
          <w:sz w:val="24"/>
          <w:szCs w:val="24"/>
        </w:rPr>
      </w:pPr>
      <w:r w:rsidRPr="00D8738B">
        <w:rPr>
          <w:rFonts w:ascii="Lato" w:hAnsi="Lato" w:cs="Arial"/>
          <w:sz w:val="24"/>
          <w:szCs w:val="24"/>
        </w:rPr>
        <w:t>Asuntos a tratar:</w:t>
      </w:r>
    </w:p>
    <w:p w:rsidR="006C41DA" w:rsidRDefault="006C41DA" w:rsidP="00DD52C1">
      <w:pPr>
        <w:spacing w:before="60" w:line="336"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125A42">
        <w:rPr>
          <w:rFonts w:ascii="Lato" w:hAnsi="Lato" w:cs="Arial"/>
          <w:b/>
        </w:rPr>
        <w:t>10</w:t>
      </w:r>
      <w:r w:rsidRPr="006C41DA">
        <w:rPr>
          <w:rFonts w:ascii="Lato" w:hAnsi="Lato" w:cs="Arial"/>
          <w:b/>
        </w:rPr>
        <w:t>/20</w:t>
      </w:r>
      <w:r w:rsidR="00A2577F">
        <w:rPr>
          <w:rFonts w:ascii="Lato" w:hAnsi="Lato" w:cs="Arial"/>
          <w:b/>
        </w:rPr>
        <w:t>2</w:t>
      </w:r>
      <w:r w:rsidR="00CD244E">
        <w:rPr>
          <w:rFonts w:ascii="Lato" w:hAnsi="Lato" w:cs="Arial"/>
          <w:b/>
        </w:rPr>
        <w:t>1</w:t>
      </w:r>
      <w:r w:rsidRPr="006C41DA">
        <w:rPr>
          <w:rFonts w:ascii="Lato" w:hAnsi="Lato" w:cs="Arial"/>
        </w:rPr>
        <w:t xml:space="preserve">, </w:t>
      </w:r>
      <w:r w:rsidR="001A16A1">
        <w:rPr>
          <w:rFonts w:ascii="Lato" w:hAnsi="Lato" w:cs="Arial"/>
        </w:rPr>
        <w:t xml:space="preserve">derivado de la respuesta otorgada </w:t>
      </w:r>
      <w:r w:rsidR="00000FED">
        <w:rPr>
          <w:rFonts w:ascii="Lato" w:hAnsi="Lato" w:cs="Arial"/>
        </w:rPr>
        <w:t xml:space="preserve">por la Directora de la Unidad de Transparencia, </w:t>
      </w:r>
      <w:r w:rsidR="001A16A1" w:rsidRPr="006C41DA">
        <w:rPr>
          <w:rFonts w:ascii="Lato" w:hAnsi="Lato" w:cs="Arial"/>
        </w:rPr>
        <w:t>a la solicitud de acceso a la información 0</w:t>
      </w:r>
      <w:r w:rsidR="00F647B3">
        <w:rPr>
          <w:rFonts w:ascii="Lato" w:hAnsi="Lato" w:cs="Arial"/>
        </w:rPr>
        <w:t>20058422000131</w:t>
      </w:r>
      <w:r w:rsidR="001A16A1">
        <w:rPr>
          <w:rFonts w:ascii="Lato" w:hAnsi="Lato" w:cs="Arial"/>
        </w:rPr>
        <w:t xml:space="preserve">, realizada </w:t>
      </w:r>
      <w:r w:rsidR="001A16A1" w:rsidRPr="006C41DA">
        <w:rPr>
          <w:rFonts w:ascii="Lato" w:hAnsi="Lato" w:cs="Arial"/>
        </w:rPr>
        <w:t>mediante la Plataforma Nacional de Transparencia</w:t>
      </w:r>
      <w:r w:rsidR="00D370E1">
        <w:rPr>
          <w:rFonts w:ascii="Lato" w:hAnsi="Lato" w:cs="Arial"/>
        </w:rPr>
        <w:t>.</w:t>
      </w:r>
    </w:p>
    <w:p w:rsidR="006C41DA" w:rsidRPr="00D370E1" w:rsidRDefault="006C41DA" w:rsidP="008D4FCE">
      <w:pPr>
        <w:spacing w:line="336" w:lineRule="auto"/>
        <w:jc w:val="both"/>
        <w:rPr>
          <w:rFonts w:ascii="Lato" w:hAnsi="Lato" w:cs="Arial"/>
          <w:b/>
        </w:rPr>
      </w:pPr>
      <w:r w:rsidRPr="006C41DA">
        <w:rPr>
          <w:rFonts w:ascii="Lato" w:hAnsi="Lato" w:cs="Arial"/>
          <w:b/>
        </w:rPr>
        <w:lastRenderedPageBreak/>
        <w:t xml:space="preserve">Visto el </w:t>
      </w:r>
      <w:r w:rsidRPr="00D370E1">
        <w:rPr>
          <w:rFonts w:ascii="Lato" w:hAnsi="Lato" w:cs="Arial"/>
          <w:b/>
        </w:rPr>
        <w:t>proyecto de resolución</w:t>
      </w:r>
      <w:r w:rsidRPr="00D370E1">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D370E1">
        <w:rPr>
          <w:rFonts w:ascii="Lato" w:hAnsi="Lato" w:cs="Arial"/>
          <w:b/>
        </w:rPr>
        <w:t xml:space="preserve">, habrá de confirmarse la </w:t>
      </w:r>
      <w:r w:rsidR="00F64C55" w:rsidRPr="00D370E1">
        <w:rPr>
          <w:rFonts w:ascii="Lato" w:hAnsi="Lato" w:cs="Arial"/>
          <w:b/>
        </w:rPr>
        <w:t>clasificación de la información solicitada como confidencial</w:t>
      </w:r>
      <w:r w:rsidR="000D4426" w:rsidRPr="00D370E1">
        <w:rPr>
          <w:rFonts w:ascii="Lato" w:hAnsi="Lato" w:cs="Arial"/>
          <w:b/>
        </w:rPr>
        <w:t>,</w:t>
      </w:r>
      <w:r w:rsidRPr="00D370E1">
        <w:rPr>
          <w:rFonts w:ascii="Lato" w:hAnsi="Lato" w:cs="Arial"/>
          <w:b/>
        </w:rPr>
        <w:t xml:space="preserve"> </w:t>
      </w:r>
      <w:r w:rsidRPr="00D370E1">
        <w:rPr>
          <w:rFonts w:ascii="Lato" w:hAnsi="Lato" w:cs="Arial"/>
        </w:rPr>
        <w:t>tomando en cuenta los antecedentes y</w:t>
      </w:r>
      <w:r w:rsidR="00247B16" w:rsidRPr="00D370E1">
        <w:rPr>
          <w:rFonts w:ascii="Lato" w:hAnsi="Lato" w:cs="Arial"/>
          <w:b/>
        </w:rPr>
        <w:t xml:space="preserve"> </w:t>
      </w:r>
      <w:r w:rsidRPr="00D370E1">
        <w:rPr>
          <w:rFonts w:ascii="Lato" w:hAnsi="Lato" w:cs="Arial"/>
        </w:rPr>
        <w:t>consideraciones siguientes</w:t>
      </w:r>
      <w:r w:rsidRPr="00D370E1">
        <w:rPr>
          <w:rFonts w:ascii="Lato" w:hAnsi="Lato" w:cs="Arial"/>
          <w:b/>
        </w:rPr>
        <w:t>:</w:t>
      </w:r>
    </w:p>
    <w:p w:rsidR="002711BF" w:rsidRPr="00D370E1" w:rsidRDefault="002711BF" w:rsidP="008D4FCE">
      <w:pPr>
        <w:pStyle w:val="Prrafodelista"/>
        <w:spacing w:after="0" w:line="336" w:lineRule="auto"/>
        <w:ind w:left="360"/>
        <w:jc w:val="both"/>
        <w:rPr>
          <w:rFonts w:ascii="Lato" w:hAnsi="Lato" w:cs="Arial"/>
          <w:b/>
          <w:sz w:val="24"/>
          <w:szCs w:val="24"/>
        </w:rPr>
      </w:pPr>
    </w:p>
    <w:p w:rsidR="008B0FCA" w:rsidRDefault="008B0FCA" w:rsidP="008B0FCA">
      <w:pPr>
        <w:pStyle w:val="Prrafodelista"/>
        <w:numPr>
          <w:ilvl w:val="0"/>
          <w:numId w:val="3"/>
        </w:numPr>
        <w:spacing w:after="0" w:line="336" w:lineRule="auto"/>
        <w:jc w:val="both"/>
        <w:rPr>
          <w:rFonts w:ascii="Lato" w:hAnsi="Lato" w:cs="Arial"/>
          <w:b/>
          <w:sz w:val="24"/>
          <w:szCs w:val="24"/>
        </w:rPr>
      </w:pPr>
      <w:r>
        <w:rPr>
          <w:rFonts w:ascii="Lato" w:hAnsi="Lato" w:cs="Arial"/>
          <w:b/>
          <w:sz w:val="24"/>
          <w:szCs w:val="24"/>
        </w:rPr>
        <w:t>Antecedente</w:t>
      </w:r>
      <w:r w:rsidR="008871A5" w:rsidRPr="00D370E1">
        <w:rPr>
          <w:rFonts w:ascii="Lato" w:hAnsi="Lato" w:cs="Arial"/>
          <w:b/>
          <w:sz w:val="24"/>
          <w:szCs w:val="24"/>
        </w:rPr>
        <w:t>:</w:t>
      </w:r>
    </w:p>
    <w:p w:rsidR="00567F8A" w:rsidRPr="00DD52C1" w:rsidRDefault="008871A5" w:rsidP="00DD52C1">
      <w:pPr>
        <w:pStyle w:val="Prrafodelista"/>
        <w:spacing w:after="0" w:line="336" w:lineRule="auto"/>
        <w:ind w:left="0"/>
        <w:jc w:val="both"/>
        <w:rPr>
          <w:rFonts w:ascii="Lato" w:hAnsi="Lato" w:cs="Arial"/>
          <w:sz w:val="24"/>
          <w:szCs w:val="24"/>
        </w:rPr>
      </w:pPr>
      <w:r w:rsidRPr="008B0FCA">
        <w:rPr>
          <w:rFonts w:ascii="Lato" w:hAnsi="Lato" w:cs="Arial"/>
          <w:sz w:val="24"/>
          <w:szCs w:val="24"/>
        </w:rPr>
        <w:t>M</w:t>
      </w:r>
      <w:r w:rsidR="006C41DA" w:rsidRPr="008B0FCA">
        <w:rPr>
          <w:rFonts w:ascii="Lato" w:hAnsi="Lato" w:cs="Arial"/>
          <w:sz w:val="24"/>
          <w:szCs w:val="24"/>
        </w:rPr>
        <w:t>ediante el registro de</w:t>
      </w:r>
      <w:r w:rsidR="00D348A3" w:rsidRPr="008B0FCA">
        <w:rPr>
          <w:rFonts w:ascii="Lato" w:hAnsi="Lato" w:cs="Arial"/>
          <w:sz w:val="24"/>
          <w:szCs w:val="24"/>
        </w:rPr>
        <w:t>l</w:t>
      </w:r>
      <w:r w:rsidR="006C41DA" w:rsidRPr="008B0FCA">
        <w:rPr>
          <w:rFonts w:ascii="Lato" w:hAnsi="Lato" w:cs="Arial"/>
          <w:sz w:val="24"/>
          <w:szCs w:val="24"/>
        </w:rPr>
        <w:t xml:space="preserve"> folio 0</w:t>
      </w:r>
      <w:r w:rsidR="00F647B3">
        <w:rPr>
          <w:rFonts w:ascii="Lato" w:hAnsi="Lato" w:cs="Arial"/>
          <w:sz w:val="24"/>
          <w:szCs w:val="24"/>
        </w:rPr>
        <w:t>20058422000131</w:t>
      </w:r>
      <w:r w:rsidR="00D348A3" w:rsidRPr="008B0FCA">
        <w:rPr>
          <w:rFonts w:ascii="Lato" w:hAnsi="Lato" w:cs="Arial"/>
          <w:sz w:val="24"/>
          <w:szCs w:val="24"/>
        </w:rPr>
        <w:t>, en</w:t>
      </w:r>
      <w:r w:rsidR="006C41DA" w:rsidRPr="008B0FCA">
        <w:rPr>
          <w:rFonts w:ascii="Lato" w:hAnsi="Lato" w:cs="Arial"/>
          <w:sz w:val="24"/>
          <w:szCs w:val="24"/>
        </w:rPr>
        <w:t xml:space="preserve"> la Plataforma Nacional de Transparencia, </w:t>
      </w:r>
      <w:r w:rsidR="002711BF" w:rsidRPr="008B0FCA">
        <w:rPr>
          <w:rFonts w:ascii="Lato" w:hAnsi="Lato" w:cs="Arial"/>
          <w:sz w:val="24"/>
          <w:szCs w:val="24"/>
        </w:rPr>
        <w:t>e</w:t>
      </w:r>
      <w:r w:rsidRPr="008B0FCA">
        <w:rPr>
          <w:rFonts w:ascii="Lato" w:hAnsi="Lato" w:cs="Arial"/>
          <w:sz w:val="24"/>
          <w:szCs w:val="24"/>
        </w:rPr>
        <w:t xml:space="preserve">l peticionario </w:t>
      </w:r>
      <w:r w:rsidR="006C41DA" w:rsidRPr="008B0FCA">
        <w:rPr>
          <w:rFonts w:ascii="Lato" w:hAnsi="Lato" w:cs="Arial"/>
          <w:sz w:val="24"/>
          <w:szCs w:val="24"/>
        </w:rPr>
        <w:t>solicitó</w:t>
      </w:r>
      <w:r w:rsidR="00000FED" w:rsidRPr="008B0FCA">
        <w:rPr>
          <w:rFonts w:ascii="Lato" w:hAnsi="Lato" w:cs="Arial"/>
          <w:sz w:val="24"/>
          <w:szCs w:val="24"/>
        </w:rPr>
        <w:t xml:space="preserve"> </w:t>
      </w:r>
      <w:r w:rsidR="00F647B3">
        <w:rPr>
          <w:rFonts w:ascii="Lato" w:hAnsi="Lato" w:cs="Arial"/>
          <w:sz w:val="24"/>
          <w:szCs w:val="24"/>
        </w:rPr>
        <w:t>“</w:t>
      </w:r>
      <w:r w:rsidR="00000FED" w:rsidRPr="00F647B3">
        <w:rPr>
          <w:rFonts w:ascii="Lato" w:hAnsi="Lato" w:cs="Arial"/>
          <w:i/>
          <w:sz w:val="24"/>
          <w:szCs w:val="24"/>
        </w:rPr>
        <w:t>se</w:t>
      </w:r>
      <w:r w:rsidR="00F647B3" w:rsidRPr="00F647B3">
        <w:rPr>
          <w:rFonts w:ascii="Lato" w:hAnsi="Lato" w:cs="Arial"/>
          <w:i/>
          <w:sz w:val="24"/>
          <w:szCs w:val="24"/>
        </w:rPr>
        <w:t xml:space="preserve">ñalar </w:t>
      </w:r>
      <w:r w:rsidR="00000FED" w:rsidRPr="00F647B3">
        <w:rPr>
          <w:rFonts w:ascii="Lato" w:hAnsi="Lato" w:cs="Arial"/>
          <w:i/>
          <w:sz w:val="24"/>
          <w:szCs w:val="24"/>
        </w:rPr>
        <w:t xml:space="preserve"> </w:t>
      </w:r>
      <w:r w:rsidR="00F647B3" w:rsidRPr="00F647B3">
        <w:rPr>
          <w:rFonts w:ascii="Lato" w:hAnsi="Lato" w:cs="Arial"/>
          <w:i/>
          <w:sz w:val="24"/>
          <w:szCs w:val="24"/>
        </w:rPr>
        <w:t>el número de veces que la ciudadana</w:t>
      </w:r>
      <w:r w:rsidR="008B0FCA" w:rsidRPr="00F647B3">
        <w:rPr>
          <w:rFonts w:ascii="Lato" w:hAnsi="Lato" w:cs="Arial"/>
          <w:i/>
          <w:sz w:val="24"/>
          <w:szCs w:val="24"/>
        </w:rPr>
        <w:t xml:space="preserve"> </w:t>
      </w:r>
      <w:r w:rsidR="00DD52C1" w:rsidRPr="00DD52C1">
        <w:rPr>
          <w:rFonts w:ascii="Lato" w:hAnsi="Lato" w:cs="Arial"/>
          <w:i/>
          <w:sz w:val="24"/>
          <w:szCs w:val="24"/>
          <w:highlight w:val="black"/>
        </w:rPr>
        <w:t>**********************</w:t>
      </w:r>
      <w:r w:rsidR="00F647B3" w:rsidRPr="00F647B3">
        <w:rPr>
          <w:rFonts w:ascii="Lato" w:hAnsi="Lato" w:cs="Arial"/>
          <w:i/>
          <w:sz w:val="24"/>
          <w:szCs w:val="24"/>
        </w:rPr>
        <w:t xml:space="preserve"> ha acudido a solicitar justicia de 2015 a la fecha</w:t>
      </w:r>
      <w:r w:rsidR="00F647B3">
        <w:rPr>
          <w:rFonts w:ascii="Lato" w:hAnsi="Lato" w:cs="Arial"/>
          <w:sz w:val="24"/>
          <w:szCs w:val="24"/>
        </w:rPr>
        <w:t>”. Así mismo solicitó “</w:t>
      </w:r>
      <w:r w:rsidR="00F647B3" w:rsidRPr="00F647B3">
        <w:rPr>
          <w:rFonts w:ascii="Lato" w:hAnsi="Lato" w:cs="Arial"/>
          <w:i/>
          <w:sz w:val="24"/>
          <w:szCs w:val="24"/>
        </w:rPr>
        <w:t>Indicar en una tabla los asuntos por número de expediente y juzgado en la que aparezca (…) de 2015 a la fecha</w:t>
      </w:r>
      <w:r w:rsidR="00F647B3">
        <w:rPr>
          <w:rFonts w:ascii="Lato" w:hAnsi="Lato" w:cs="Arial"/>
          <w:sz w:val="24"/>
          <w:szCs w:val="24"/>
        </w:rPr>
        <w:t>”.</w:t>
      </w:r>
    </w:p>
    <w:p w:rsidR="00F647B3" w:rsidRPr="00DD52C1" w:rsidRDefault="00F647B3" w:rsidP="00F647B3">
      <w:pPr>
        <w:pStyle w:val="Prrafodelista"/>
        <w:spacing w:after="0" w:line="336" w:lineRule="auto"/>
        <w:ind w:left="360"/>
        <w:jc w:val="both"/>
        <w:rPr>
          <w:rFonts w:ascii="Lato" w:hAnsi="Lato" w:cs="Arial"/>
          <w:b/>
          <w:sz w:val="24"/>
          <w:szCs w:val="24"/>
        </w:rPr>
      </w:pPr>
    </w:p>
    <w:p w:rsidR="00F647B3" w:rsidRPr="00DD52C1" w:rsidRDefault="008B0FCA" w:rsidP="00DD52C1">
      <w:pPr>
        <w:pStyle w:val="Prrafodelista"/>
        <w:spacing w:after="0" w:line="336" w:lineRule="auto"/>
        <w:ind w:left="0"/>
        <w:jc w:val="both"/>
        <w:rPr>
          <w:rFonts w:ascii="Lato" w:hAnsi="Lato"/>
          <w:b/>
          <w:sz w:val="24"/>
          <w:szCs w:val="24"/>
        </w:rPr>
      </w:pPr>
      <w:r w:rsidRPr="00DD52C1">
        <w:rPr>
          <w:rFonts w:ascii="Lato" w:hAnsi="Lato"/>
          <w:sz w:val="24"/>
          <w:szCs w:val="24"/>
        </w:rPr>
        <w:t>L</w:t>
      </w:r>
      <w:r w:rsidR="00F64C55" w:rsidRPr="00DD52C1">
        <w:rPr>
          <w:rFonts w:ascii="Lato" w:hAnsi="Lato"/>
          <w:sz w:val="24"/>
          <w:szCs w:val="24"/>
        </w:rPr>
        <w:t xml:space="preserve">a </w:t>
      </w:r>
      <w:r w:rsidRPr="00DD52C1">
        <w:rPr>
          <w:rFonts w:ascii="Lato" w:hAnsi="Lato"/>
          <w:sz w:val="24"/>
          <w:szCs w:val="24"/>
        </w:rPr>
        <w:t xml:space="preserve">Directora </w:t>
      </w:r>
      <w:r w:rsidR="00F64C55" w:rsidRPr="00DD52C1">
        <w:rPr>
          <w:rFonts w:ascii="Lato" w:hAnsi="Lato"/>
          <w:sz w:val="24"/>
          <w:szCs w:val="24"/>
        </w:rPr>
        <w:t>de la Unidad de Transparencia</w:t>
      </w:r>
      <w:r w:rsidR="003B15E0" w:rsidRPr="00DD52C1">
        <w:rPr>
          <w:rFonts w:ascii="Lato" w:hAnsi="Lato"/>
          <w:sz w:val="24"/>
          <w:szCs w:val="24"/>
        </w:rPr>
        <w:t xml:space="preserve"> manifiesta </w:t>
      </w:r>
      <w:r w:rsidR="00F647B3" w:rsidRPr="00DD52C1">
        <w:rPr>
          <w:rFonts w:ascii="Lato" w:hAnsi="Lato"/>
          <w:sz w:val="24"/>
          <w:szCs w:val="24"/>
        </w:rPr>
        <w:t>en el oficio de respuesta fechado el día de hoy, número 0533</w:t>
      </w:r>
      <w:r w:rsidR="00F647B3" w:rsidRPr="00DD52C1">
        <w:rPr>
          <w:rFonts w:ascii="Lato" w:hAnsi="Lato"/>
          <w:sz w:val="24"/>
          <w:szCs w:val="24"/>
          <w:shd w:val="clear" w:color="auto" w:fill="FFFFFF"/>
        </w:rPr>
        <w:t>/UT/2022, lo que a continuación se transcribe:</w:t>
      </w:r>
    </w:p>
    <w:p w:rsidR="00F647B3" w:rsidRPr="00DD52C1" w:rsidRDefault="00F647B3" w:rsidP="00F647B3">
      <w:pPr>
        <w:jc w:val="both"/>
        <w:rPr>
          <w:rFonts w:ascii="Lato" w:hAnsi="Lato"/>
          <w:b/>
          <w:lang w:eastAsia="en-US"/>
        </w:rPr>
      </w:pPr>
      <w:r w:rsidRPr="00DD52C1">
        <w:rPr>
          <w:rFonts w:ascii="Lato" w:hAnsi="Lato"/>
        </w:rPr>
        <w:tab/>
        <w:t xml:space="preserve"> </w:t>
      </w:r>
    </w:p>
    <w:p w:rsidR="00F647B3" w:rsidRPr="005E5142" w:rsidRDefault="00F647B3" w:rsidP="00DD52C1">
      <w:pPr>
        <w:tabs>
          <w:tab w:val="left" w:pos="1620"/>
          <w:tab w:val="left" w:pos="2025"/>
        </w:tabs>
        <w:spacing w:line="336" w:lineRule="auto"/>
        <w:jc w:val="both"/>
        <w:rPr>
          <w:rFonts w:ascii="Lato" w:hAnsi="Lato"/>
          <w:i/>
          <w:u w:val="single"/>
        </w:rPr>
      </w:pPr>
      <w:r>
        <w:rPr>
          <w:rFonts w:ascii="Lato" w:hAnsi="Lato"/>
        </w:rPr>
        <w:t>“</w:t>
      </w:r>
      <w:r w:rsidRPr="005E5142">
        <w:rPr>
          <w:rFonts w:ascii="Lato" w:hAnsi="Lato"/>
          <w:i/>
        </w:rPr>
        <w:t xml:space="preserve">Por este conducto y con relación a su solicitud registrada en la Plataforma Nacional de Transparencia con el número de folio </w:t>
      </w:r>
      <w:r w:rsidRPr="005E5142">
        <w:rPr>
          <w:rFonts w:ascii="Lato" w:hAnsi="Lato"/>
          <w:b/>
          <w:i/>
        </w:rPr>
        <w:t>020058422000131</w:t>
      </w:r>
      <w:r w:rsidRPr="005E5142">
        <w:rPr>
          <w:rFonts w:ascii="Lato" w:hAnsi="Lato"/>
          <w:i/>
        </w:rPr>
        <w:t xml:space="preserve">, en fecha 29 de marzo del año en curso, me permito informarle que </w:t>
      </w:r>
      <w:r w:rsidRPr="005E5142">
        <w:rPr>
          <w:rFonts w:ascii="Lato" w:hAnsi="Lato"/>
          <w:b/>
          <w:i/>
        </w:rPr>
        <w:t>no es posible atender su petición</w:t>
      </w:r>
      <w:r w:rsidRPr="005E5142">
        <w:rPr>
          <w:rFonts w:ascii="Lato" w:hAnsi="Lato"/>
          <w:i/>
        </w:rPr>
        <w:t xml:space="preserve">, </w:t>
      </w:r>
      <w:r w:rsidRPr="005E5142">
        <w:rPr>
          <w:rFonts w:ascii="Lato" w:hAnsi="Lato"/>
          <w:b/>
          <w:i/>
        </w:rPr>
        <w:t xml:space="preserve">toda vez que lo solicitado no se encuentra dentro del marco de la Ley, por tratarse de la búsqueda de datos personales que implican el ámbito privado de particulares, no de gestión de autoridad, por lo que si los hubieren, entran en la categoría de </w:t>
      </w:r>
      <w:r w:rsidRPr="005E5142">
        <w:rPr>
          <w:rFonts w:ascii="Lato" w:hAnsi="Lato"/>
          <w:b/>
          <w:i/>
          <w:u w:val="single"/>
        </w:rPr>
        <w:t>datos personales de carácter confidencial.</w:t>
      </w:r>
    </w:p>
    <w:p w:rsidR="00F647B3" w:rsidRPr="005E5142" w:rsidRDefault="00F647B3" w:rsidP="00DD52C1">
      <w:pPr>
        <w:tabs>
          <w:tab w:val="left" w:pos="1620"/>
          <w:tab w:val="left" w:pos="2025"/>
        </w:tabs>
        <w:spacing w:line="336" w:lineRule="auto"/>
        <w:jc w:val="both"/>
        <w:rPr>
          <w:rFonts w:ascii="Lato" w:hAnsi="Lato"/>
          <w:i/>
        </w:rPr>
      </w:pP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i/>
        </w:rPr>
        <w:t xml:space="preserve">En efecto, </w:t>
      </w:r>
      <w:r w:rsidRPr="005E5142">
        <w:rPr>
          <w:rFonts w:ascii="Lato" w:hAnsi="Lato"/>
          <w:b/>
          <w:i/>
        </w:rPr>
        <w:t>si bien es cierto</w:t>
      </w:r>
      <w:r w:rsidRPr="005E5142">
        <w:rPr>
          <w:rFonts w:ascii="Lato" w:hAnsi="Lato"/>
          <w:i/>
        </w:rPr>
        <w:t xml:space="preserve"> que de conformidad a la fracción I del artículo 3 de la Ley de Transparencia, Acceso a la Información Pública y Protección de Datos Personales, que se refiere al objeto de dicha Ley, y del que se infiere su marco normativo o regulación, </w:t>
      </w:r>
      <w:r w:rsidRPr="005E5142">
        <w:rPr>
          <w:rFonts w:ascii="Lato" w:hAnsi="Lato"/>
          <w:b/>
          <w:i/>
        </w:rPr>
        <w:t>se tiene la obligación de garantizar que toda persona tenga acceso a la información pública que se genere o se encuentre en posesión de los sujetos obligados</w:t>
      </w:r>
      <w:r w:rsidRPr="005E5142">
        <w:rPr>
          <w:rFonts w:ascii="Lato" w:hAnsi="Lato"/>
          <w:i/>
        </w:rPr>
        <w:t xml:space="preserve">, </w:t>
      </w:r>
      <w:r w:rsidRPr="005E5142">
        <w:rPr>
          <w:rFonts w:ascii="Lato" w:hAnsi="Lato"/>
          <w:b/>
          <w:i/>
        </w:rPr>
        <w:t>también es cierto que el diverso numeral 171 del Reglamento de la Ley</w:t>
      </w:r>
      <w:r w:rsidRPr="005E5142">
        <w:rPr>
          <w:rFonts w:ascii="Lato" w:hAnsi="Lato"/>
          <w:i/>
        </w:rPr>
        <w:t xml:space="preserve"> de Transparencia y Acceso a la Información Pública </w:t>
      </w:r>
      <w:r w:rsidRPr="005E5142">
        <w:rPr>
          <w:rFonts w:ascii="Lato" w:hAnsi="Lato"/>
          <w:i/>
        </w:rPr>
        <w:lastRenderedPageBreak/>
        <w:t xml:space="preserve">para el Estado de Baja California, establece que </w:t>
      </w:r>
      <w:r w:rsidRPr="005E5142">
        <w:rPr>
          <w:rFonts w:ascii="Lato" w:hAnsi="Lato"/>
          <w:b/>
          <w:i/>
        </w:rPr>
        <w:t>a la información confidencial solo podrán tener acceso a ella los titulares de la misma, sus representantes o los servidores públicos facultados para ello</w:t>
      </w:r>
      <w:r w:rsidRPr="005E5142">
        <w:rPr>
          <w:rFonts w:ascii="Lato" w:hAnsi="Lato"/>
          <w:i/>
        </w:rPr>
        <w:t>.</w:t>
      </w:r>
    </w:p>
    <w:p w:rsidR="00F647B3" w:rsidRPr="005E5142" w:rsidRDefault="00F647B3" w:rsidP="00F647B3">
      <w:pPr>
        <w:tabs>
          <w:tab w:val="left" w:pos="1620"/>
          <w:tab w:val="left" w:pos="2025"/>
        </w:tabs>
        <w:spacing w:line="276" w:lineRule="auto"/>
        <w:ind w:firstLine="851"/>
        <w:jc w:val="both"/>
        <w:rPr>
          <w:rFonts w:ascii="Lato" w:hAnsi="Lato"/>
          <w:i/>
        </w:rPr>
      </w:pP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b/>
          <w:i/>
        </w:rPr>
        <w:t>La determinación anterior se fortalece al analizar lo dispuesto por el artículo 184 del Reglamento citado</w:t>
      </w:r>
      <w:r w:rsidRPr="005E5142">
        <w:rPr>
          <w:rFonts w:ascii="Lato" w:hAnsi="Lato"/>
          <w:i/>
        </w:rPr>
        <w:t xml:space="preserve">, pues en éste, se establece la </w:t>
      </w:r>
      <w:r w:rsidRPr="005E5142">
        <w:rPr>
          <w:rFonts w:ascii="Lato" w:hAnsi="Lato"/>
          <w:i/>
          <w:u w:val="single"/>
        </w:rPr>
        <w:t xml:space="preserve">obligación de </w:t>
      </w:r>
      <w:r w:rsidRPr="005E5142">
        <w:rPr>
          <w:rFonts w:ascii="Lato" w:hAnsi="Lato"/>
          <w:b/>
          <w:i/>
          <w:u w:val="single"/>
        </w:rPr>
        <w:t xml:space="preserve">buscar </w:t>
      </w:r>
      <w:r w:rsidRPr="005E5142">
        <w:rPr>
          <w:rFonts w:ascii="Lato" w:hAnsi="Lato"/>
          <w:i/>
          <w:u w:val="single"/>
        </w:rPr>
        <w:t>y proporcionar la información pública</w:t>
      </w:r>
      <w:r w:rsidRPr="005E5142">
        <w:rPr>
          <w:rFonts w:ascii="Lato" w:hAnsi="Lato"/>
          <w:i/>
        </w:rPr>
        <w:t xml:space="preserve"> en poder de esta Institución, </w:t>
      </w:r>
      <w:r w:rsidRPr="005E5142">
        <w:rPr>
          <w:rFonts w:ascii="Lato" w:hAnsi="Lato"/>
          <w:b/>
          <w:i/>
        </w:rPr>
        <w:t>que no se encuentre reservada o sea confidencial</w:t>
      </w:r>
      <w:r w:rsidRPr="005E5142">
        <w:rPr>
          <w:rFonts w:ascii="Lato" w:hAnsi="Lato"/>
          <w:i/>
        </w:rPr>
        <w:t xml:space="preserve">. De lo que se desprende con meridiana claridad que </w:t>
      </w:r>
      <w:r w:rsidRPr="005E5142">
        <w:rPr>
          <w:rFonts w:ascii="Lato" w:hAnsi="Lato"/>
          <w:b/>
          <w:i/>
        </w:rPr>
        <w:t>no es obligación de este Sujeto Obligado, buscar información que concierne a los particulares usuarios del servicio de administración de justicia</w:t>
      </w:r>
      <w:r w:rsidRPr="005E5142">
        <w:rPr>
          <w:rFonts w:ascii="Lato" w:hAnsi="Lato"/>
          <w:i/>
        </w:rPr>
        <w:t xml:space="preserve"> o que participan por cualquier motivo en los procesos o procedimientos el ámbito jurisdiccional.</w:t>
      </w:r>
    </w:p>
    <w:p w:rsidR="00F647B3" w:rsidRPr="005E5142" w:rsidRDefault="00F647B3" w:rsidP="00F647B3">
      <w:pPr>
        <w:tabs>
          <w:tab w:val="left" w:pos="1620"/>
          <w:tab w:val="left" w:pos="2025"/>
        </w:tabs>
        <w:spacing w:line="276" w:lineRule="auto"/>
        <w:ind w:firstLine="851"/>
        <w:jc w:val="both"/>
        <w:rPr>
          <w:rFonts w:ascii="Lato" w:hAnsi="Lato"/>
          <w:i/>
        </w:rPr>
      </w:pP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i/>
        </w:rPr>
        <w:t xml:space="preserve">Ahora bien, es importante señalar que el artículo 4 fracción VI de la Ley de Transparencia y Acceso a la Información Pública para el Estado de Baja California, dispone que </w:t>
      </w:r>
      <w:r w:rsidRPr="005E5142">
        <w:rPr>
          <w:rFonts w:ascii="Lato" w:hAnsi="Lato"/>
          <w:b/>
          <w:i/>
        </w:rPr>
        <w:t>se entiende por datos personales,  cualquier información concerniente a una persona física identificada o identificable,</w:t>
      </w:r>
      <w:r w:rsidRPr="005E5142">
        <w:rPr>
          <w:rFonts w:ascii="Lato" w:hAnsi="Lato"/>
          <w:i/>
        </w:rPr>
        <w:t xml:space="preserve"> disposición que se amplía en el artículo 172 del Reglamento de la Ley de la materia que a la letra dice:</w:t>
      </w:r>
    </w:p>
    <w:p w:rsidR="00F647B3" w:rsidRPr="005E5142" w:rsidRDefault="00F647B3" w:rsidP="00F647B3">
      <w:pPr>
        <w:tabs>
          <w:tab w:val="left" w:pos="1620"/>
          <w:tab w:val="left" w:pos="2025"/>
        </w:tabs>
        <w:spacing w:line="276" w:lineRule="auto"/>
        <w:ind w:firstLine="851"/>
        <w:jc w:val="both"/>
        <w:rPr>
          <w:rFonts w:ascii="Lato" w:hAnsi="Lato"/>
          <w:i/>
          <w:sz w:val="20"/>
          <w:szCs w:val="20"/>
        </w:rPr>
      </w:pPr>
    </w:p>
    <w:p w:rsidR="00F647B3" w:rsidRPr="00DD52C1" w:rsidRDefault="00F647B3" w:rsidP="00DD52C1">
      <w:pPr>
        <w:tabs>
          <w:tab w:val="left" w:pos="1620"/>
          <w:tab w:val="left" w:pos="2025"/>
        </w:tabs>
        <w:spacing w:line="336" w:lineRule="auto"/>
        <w:jc w:val="both"/>
        <w:rPr>
          <w:rFonts w:ascii="Lato" w:hAnsi="Lato"/>
          <w:i/>
        </w:rPr>
      </w:pPr>
      <w:r w:rsidRPr="00DD52C1">
        <w:rPr>
          <w:rFonts w:ascii="Lato" w:hAnsi="Lato"/>
          <w:i/>
        </w:rPr>
        <w:t xml:space="preserve">“Artículo 172. Se consideran datos personales, de manera enunciativa más no limitativa: la </w:t>
      </w:r>
      <w:r w:rsidRPr="00DD52C1">
        <w:rPr>
          <w:rFonts w:ascii="Lato" w:hAnsi="Lato"/>
          <w:b/>
          <w:i/>
        </w:rPr>
        <w:t>información numérica</w:t>
      </w:r>
      <w:r w:rsidRPr="00DD52C1">
        <w:rPr>
          <w:rFonts w:ascii="Lato" w:hAnsi="Lato"/>
          <w:i/>
        </w:rPr>
        <w:t xml:space="preserve">, alfabética, gráfica, fotográfica, acústica o de cualquier otro tipo, </w:t>
      </w:r>
      <w:r w:rsidRPr="00DD52C1">
        <w:rPr>
          <w:rFonts w:ascii="Lato" w:hAnsi="Lato"/>
          <w:b/>
          <w:i/>
        </w:rPr>
        <w:t>concerniente a una persona física o jurídica identificada o identificable, tales como el nombre</w:t>
      </w:r>
      <w:r w:rsidRPr="00DD52C1">
        <w:rPr>
          <w:rFonts w:ascii="Lato" w:hAnsi="Lato"/>
          <w:i/>
        </w:rPr>
        <w:t>, número telefónico, edad, sexo, registro federal de contribuyentes, clave única de registro de población, estado civil, domicilio, dirección de correo electrónico, origen racial o étnico, lugar y fecha de nacimiento, lugar</w:t>
      </w:r>
      <w:r w:rsidRPr="00DD52C1">
        <w:rPr>
          <w:rFonts w:ascii="Lato" w:hAnsi="Lato"/>
          <w:b/>
          <w:i/>
        </w:rPr>
        <w:t xml:space="preserve"> de </w:t>
      </w:r>
      <w:r w:rsidRPr="00DD52C1">
        <w:rPr>
          <w:rFonts w:ascii="Lato" w:hAnsi="Lato"/>
          <w:i/>
        </w:rPr>
        <w:t xml:space="preserve">origen y nacionalidad, ideología, creencias o convicción religiosa, filosófica, política o de otro género; los referidos a características físicas, morales o emocionales, preferencias sexuales, vida afectiva o familiar, o cualquier otro referente al estado de salud físico o mental, datos laborales, idioma o lengua, escolaridad, </w:t>
      </w:r>
      <w:r w:rsidRPr="00DD52C1">
        <w:rPr>
          <w:rFonts w:ascii="Lato" w:hAnsi="Lato"/>
          <w:b/>
          <w:i/>
          <w:u w:val="single"/>
        </w:rPr>
        <w:t>patrimonio</w:t>
      </w:r>
      <w:r w:rsidRPr="00DD52C1">
        <w:rPr>
          <w:rFonts w:ascii="Lato" w:hAnsi="Lato"/>
          <w:i/>
        </w:rPr>
        <w:t>, títulos, certificados, cédula profesional, saldos bancarios, estados de cuenta, número de cuenta, bienes muebles e inmuebles, información fiscal, historial crediticio, ingresos y egresos, buró de crédito, seguros, afores, fianzas, tarjetas de crédito o de débito, contraseñas, huellas dactilares, firma autógrafa y electrónica, códigos de seguridad, etcétera…” , que en su caso, requeriría el consentimiento de su titular, para comunicarlos a terceros.</w:t>
      </w: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i/>
        </w:rPr>
        <w:lastRenderedPageBreak/>
        <w:t xml:space="preserve">En virtud de lo anterior, las constancias y los documentos que se contienen en </w:t>
      </w:r>
      <w:r w:rsidRPr="005E5142">
        <w:rPr>
          <w:rFonts w:ascii="Lato" w:hAnsi="Lato"/>
          <w:b/>
          <w:i/>
        </w:rPr>
        <w:t>los expedientes judiciales, ventilados a los juzgados que correspondan, a dichos expedientes, se refieren a la esfera privada de los particulares</w:t>
      </w:r>
      <w:r w:rsidRPr="005E5142">
        <w:rPr>
          <w:rFonts w:ascii="Lato" w:hAnsi="Lato"/>
          <w:i/>
        </w:rPr>
        <w:t xml:space="preserve">, cuyos asuntos son sometidos a la competencia de los órganos jurisdiccionales, para con ello realizar la función jurisdiccional. </w:t>
      </w:r>
    </w:p>
    <w:p w:rsidR="00F647B3" w:rsidRPr="005E5142" w:rsidRDefault="00F647B3" w:rsidP="00F647B3">
      <w:pPr>
        <w:tabs>
          <w:tab w:val="left" w:pos="1620"/>
          <w:tab w:val="left" w:pos="2025"/>
        </w:tabs>
        <w:spacing w:line="276" w:lineRule="auto"/>
        <w:ind w:firstLine="851"/>
        <w:jc w:val="both"/>
        <w:rPr>
          <w:rFonts w:ascii="Lato" w:hAnsi="Lato"/>
          <w:i/>
        </w:rPr>
      </w:pP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i/>
        </w:rPr>
        <w:t xml:space="preserve">Vistas así las cosas, y a mayor abundamiento, es de señalarse que la información solicitada no encuadra en el marco de la Ley de la materia, pues </w:t>
      </w:r>
      <w:r w:rsidRPr="005E5142">
        <w:rPr>
          <w:rFonts w:ascii="Lato" w:hAnsi="Lato"/>
          <w:b/>
          <w:i/>
        </w:rPr>
        <w:t>no existe hipótesis normativa de la que se desprenda la obligación de esta autoridad de realizar una búsqueda de los asuntos que se someten por los particulares contra otros particulares o solo para beneficio propio, a los órganos jurisdiccionales de este Poder Judicial,</w:t>
      </w:r>
      <w:r w:rsidRPr="005E5142">
        <w:rPr>
          <w:rFonts w:ascii="Lato" w:hAnsi="Lato"/>
          <w:i/>
        </w:rPr>
        <w:t xml:space="preserve"> pues </w:t>
      </w:r>
      <w:r w:rsidRPr="005E5142">
        <w:rPr>
          <w:rFonts w:ascii="Lato" w:hAnsi="Lato"/>
          <w:i/>
          <w:u w:val="single"/>
        </w:rPr>
        <w:t xml:space="preserve">en observancia al artículo 3 de la Ley de la materia, del análisis de las hipótesis que lo conforman, se confirma que </w:t>
      </w:r>
      <w:r w:rsidRPr="005E5142">
        <w:rPr>
          <w:rFonts w:ascii="Lato" w:hAnsi="Lato"/>
          <w:b/>
          <w:i/>
        </w:rPr>
        <w:t xml:space="preserve">no se desprende la obligación de realizar una búsqueda de información que corresponde a la esfera privada de los particulares, </w:t>
      </w:r>
      <w:r w:rsidRPr="005E5142">
        <w:rPr>
          <w:rFonts w:ascii="Lato" w:hAnsi="Lato"/>
          <w:i/>
        </w:rPr>
        <w:t xml:space="preserve">sino transparentar la gestión pública, </w:t>
      </w:r>
      <w:r w:rsidRPr="005E5142">
        <w:rPr>
          <w:rFonts w:ascii="Lato" w:hAnsi="Lato"/>
          <w:b/>
          <w:i/>
        </w:rPr>
        <w:t xml:space="preserve">garantizando el acceso a la información </w:t>
      </w:r>
      <w:r w:rsidRPr="005E5142">
        <w:rPr>
          <w:rFonts w:ascii="Lato" w:hAnsi="Lato"/>
          <w:b/>
          <w:i/>
          <w:u w:val="single"/>
        </w:rPr>
        <w:t>pública</w:t>
      </w:r>
      <w:r w:rsidRPr="005E5142">
        <w:rPr>
          <w:rFonts w:ascii="Lato" w:hAnsi="Lato"/>
          <w:i/>
          <w:u w:val="single"/>
        </w:rPr>
        <w:t>,</w:t>
      </w:r>
      <w:r w:rsidRPr="005E5142">
        <w:rPr>
          <w:rFonts w:ascii="Lato" w:hAnsi="Lato"/>
          <w:i/>
        </w:rPr>
        <w:t xml:space="preserve"> necesaria para una oportuna rendición de cuentas sobre los indicadores de gestión de esta Institución y el ejercicio de recursos públicos que nos son asignados o bien que sirva de base para la evaluación del desempeño de los servidores públicos del Poder Judicial, más no gestiones de interés privado. </w:t>
      </w:r>
    </w:p>
    <w:p w:rsidR="00F647B3" w:rsidRPr="005E5142" w:rsidRDefault="00F647B3" w:rsidP="00F647B3">
      <w:pPr>
        <w:tabs>
          <w:tab w:val="left" w:pos="1620"/>
          <w:tab w:val="left" w:pos="2025"/>
        </w:tabs>
        <w:spacing w:line="276" w:lineRule="auto"/>
        <w:ind w:firstLine="851"/>
        <w:jc w:val="both"/>
        <w:rPr>
          <w:rFonts w:ascii="Lato" w:hAnsi="Lato"/>
          <w:i/>
        </w:rPr>
      </w:pPr>
    </w:p>
    <w:p w:rsidR="00F647B3" w:rsidRDefault="00F647B3" w:rsidP="00DD52C1">
      <w:pPr>
        <w:tabs>
          <w:tab w:val="left" w:pos="1620"/>
          <w:tab w:val="left" w:pos="2025"/>
        </w:tabs>
        <w:spacing w:line="336" w:lineRule="auto"/>
        <w:jc w:val="both"/>
        <w:rPr>
          <w:rFonts w:ascii="Lato" w:hAnsi="Lato"/>
          <w:i/>
        </w:rPr>
      </w:pPr>
      <w:r w:rsidRPr="005E5142">
        <w:rPr>
          <w:rFonts w:ascii="Lato" w:hAnsi="Lato"/>
          <w:i/>
        </w:rPr>
        <w:t>Me permito transcribir el multicitado artículo 3 de la Ley Estatal de Transparencia:</w:t>
      </w:r>
    </w:p>
    <w:p w:rsidR="005E5142" w:rsidRPr="005E5142" w:rsidRDefault="005E5142" w:rsidP="005E5142">
      <w:pPr>
        <w:tabs>
          <w:tab w:val="left" w:pos="1620"/>
          <w:tab w:val="left" w:pos="2025"/>
        </w:tabs>
        <w:spacing w:line="276" w:lineRule="auto"/>
        <w:jc w:val="both"/>
        <w:rPr>
          <w:rFonts w:ascii="Lato" w:hAnsi="Lato"/>
          <w:i/>
        </w:rPr>
      </w:pP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 xml:space="preserve">“Artículo 3.- La presente Ley tiene por objeto: </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I.</w:t>
      </w:r>
      <w:r w:rsidRPr="00DD52C1">
        <w:rPr>
          <w:rFonts w:ascii="Lato" w:hAnsi="Lato"/>
          <w:i/>
          <w:color w:val="000000"/>
        </w:rPr>
        <w:tab/>
        <w:t xml:space="preserve">Desarrollar procedimientos sencillos, expeditos y gratuitos para garantizar que toda persona tenga </w:t>
      </w:r>
      <w:r w:rsidRPr="00DD52C1">
        <w:rPr>
          <w:rFonts w:ascii="Lato" w:hAnsi="Lato"/>
          <w:b/>
          <w:i/>
          <w:color w:val="000000"/>
        </w:rPr>
        <w:t xml:space="preserve">acceso a la información </w:t>
      </w:r>
      <w:r w:rsidRPr="00DD52C1">
        <w:rPr>
          <w:rFonts w:ascii="Lato" w:hAnsi="Lato"/>
          <w:b/>
          <w:i/>
          <w:color w:val="000000"/>
          <w:u w:val="single"/>
        </w:rPr>
        <w:t>pública</w:t>
      </w:r>
      <w:r w:rsidRPr="00DD52C1">
        <w:rPr>
          <w:rFonts w:ascii="Lato" w:hAnsi="Lato"/>
          <w:i/>
          <w:color w:val="000000"/>
        </w:rPr>
        <w:t xml:space="preserve"> que genere o se encuentre en posesión de los sujetos obligados señalados en esta Ley.</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II.</w:t>
      </w:r>
      <w:r w:rsidRPr="00DD52C1">
        <w:rPr>
          <w:rFonts w:ascii="Lato" w:hAnsi="Lato"/>
          <w:i/>
          <w:color w:val="000000"/>
        </w:rPr>
        <w:tab/>
        <w:t>Transparentar la gestión pública mediante la difusión de la información completa y actualizada que generan, administran o posean los sujetos obligados.</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III.</w:t>
      </w:r>
      <w:r w:rsidRPr="00DD52C1">
        <w:rPr>
          <w:rFonts w:ascii="Lato" w:hAnsi="Lato"/>
          <w:i/>
          <w:color w:val="000000"/>
        </w:rPr>
        <w:tab/>
        <w:t xml:space="preserve">Establecer las bases y la información de interés público que se debe difundir proactivamente; </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IV.</w:t>
      </w:r>
      <w:r w:rsidRPr="00DD52C1">
        <w:rPr>
          <w:rFonts w:ascii="Lato" w:hAnsi="Lato"/>
          <w:i/>
          <w:color w:val="000000"/>
        </w:rPr>
        <w:tab/>
      </w:r>
      <w:r w:rsidRPr="00DD52C1">
        <w:rPr>
          <w:rFonts w:ascii="Lato" w:hAnsi="Lato"/>
          <w:b/>
          <w:i/>
          <w:color w:val="000000"/>
        </w:rPr>
        <w:t>Garantizar una adecuada y oportuna rendición de cuentas de los sujetos obligados</w:t>
      </w:r>
      <w:r w:rsidRPr="00DD52C1">
        <w:rPr>
          <w:rFonts w:ascii="Lato" w:hAnsi="Lato"/>
          <w:i/>
          <w:color w:val="000000"/>
        </w:rPr>
        <w:t xml:space="preserve"> a la ciudadanía, a través de la generación y publicación de información sobre su indicadores de gestión y el ejercicio de los recursos públicos, de forma completa, veraz, oportuna, y comprensible.</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V.</w:t>
      </w:r>
      <w:r w:rsidRPr="00DD52C1">
        <w:rPr>
          <w:rFonts w:ascii="Lato" w:hAnsi="Lato"/>
          <w:i/>
          <w:color w:val="000000"/>
        </w:rPr>
        <w:tab/>
        <w:t xml:space="preserve">Promover la generación y consolidación de una cultura de transparencia y rendición de cuentas en la ciudadanía y los servidores públicos. </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lastRenderedPageBreak/>
        <w:t>VI.</w:t>
      </w:r>
      <w:r w:rsidRPr="00DD52C1">
        <w:rPr>
          <w:rFonts w:ascii="Lato" w:hAnsi="Lato"/>
          <w:i/>
          <w:color w:val="000000"/>
        </w:rPr>
        <w:tab/>
        <w:t xml:space="preserve">Regular el proceso del recurso de revisión, el procedimiento de denuncia y la efectiva aplicación de las medidas de apremio y las sanciones que correspondan. </w:t>
      </w:r>
    </w:p>
    <w:p w:rsidR="00F647B3" w:rsidRPr="00DD52C1" w:rsidRDefault="00F647B3" w:rsidP="00DD52C1">
      <w:pPr>
        <w:pStyle w:val="Prrafodelista"/>
        <w:spacing w:after="0" w:line="336" w:lineRule="auto"/>
        <w:ind w:left="567" w:right="567"/>
        <w:jc w:val="both"/>
        <w:rPr>
          <w:rFonts w:ascii="Lato" w:hAnsi="Lato"/>
          <w:i/>
          <w:color w:val="000000"/>
        </w:rPr>
      </w:pPr>
      <w:r w:rsidRPr="00DD52C1">
        <w:rPr>
          <w:rFonts w:ascii="Lato" w:hAnsi="Lato"/>
          <w:i/>
          <w:color w:val="000000"/>
        </w:rPr>
        <w:t>VII.</w:t>
      </w:r>
      <w:r w:rsidRPr="00DD52C1">
        <w:rPr>
          <w:rFonts w:ascii="Lato" w:hAnsi="Lato"/>
          <w:i/>
          <w:color w:val="000000"/>
        </w:rPr>
        <w:tab/>
        <w:t>Regular las demás instituciones que se contienen en esta Ley”.</w:t>
      </w:r>
    </w:p>
    <w:p w:rsidR="00F647B3" w:rsidRPr="005E5142" w:rsidRDefault="00F647B3" w:rsidP="00F647B3">
      <w:pPr>
        <w:tabs>
          <w:tab w:val="left" w:pos="1620"/>
          <w:tab w:val="left" w:pos="2025"/>
        </w:tabs>
        <w:spacing w:line="276" w:lineRule="auto"/>
        <w:ind w:firstLine="851"/>
        <w:jc w:val="both"/>
        <w:rPr>
          <w:rFonts w:ascii="Lato" w:hAnsi="Lato"/>
          <w:i/>
          <w:sz w:val="20"/>
          <w:szCs w:val="20"/>
        </w:rPr>
      </w:pP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i/>
        </w:rPr>
        <w:t>Igualmente cabe destacar en lo conducente, el artículo 16 en su fracción VI de la Ley citada establece lo siguiente:</w:t>
      </w:r>
    </w:p>
    <w:p w:rsidR="00F647B3" w:rsidRPr="00DD52C1" w:rsidRDefault="00F647B3" w:rsidP="00F647B3">
      <w:pPr>
        <w:tabs>
          <w:tab w:val="left" w:pos="1620"/>
          <w:tab w:val="left" w:pos="2025"/>
        </w:tabs>
        <w:spacing w:line="276" w:lineRule="auto"/>
        <w:ind w:firstLine="851"/>
        <w:jc w:val="both"/>
        <w:rPr>
          <w:rFonts w:ascii="Lato" w:hAnsi="Lato"/>
          <w:b/>
          <w:i/>
          <w:sz w:val="22"/>
          <w:szCs w:val="22"/>
        </w:rPr>
      </w:pPr>
    </w:p>
    <w:p w:rsidR="00F647B3" w:rsidRPr="00DD52C1" w:rsidRDefault="00F647B3" w:rsidP="00DD52C1">
      <w:pPr>
        <w:pStyle w:val="Prrafodelista"/>
        <w:spacing w:after="0" w:line="336" w:lineRule="auto"/>
        <w:ind w:left="567" w:right="567"/>
        <w:jc w:val="both"/>
        <w:rPr>
          <w:rFonts w:ascii="Lato" w:hAnsi="Lato"/>
          <w:i/>
        </w:rPr>
      </w:pPr>
      <w:r w:rsidRPr="00DD52C1">
        <w:rPr>
          <w:rFonts w:ascii="Lato" w:hAnsi="Lato"/>
          <w:b/>
          <w:i/>
        </w:rPr>
        <w:t>Artículo 16</w:t>
      </w:r>
      <w:r w:rsidRPr="00DD52C1">
        <w:rPr>
          <w:rFonts w:ascii="Lato" w:hAnsi="Lato"/>
          <w:i/>
        </w:rPr>
        <w:t>. Para el cumplimiento de los objetivos de esta Ley, los sujetos obligados deberán cumplir con las siguientes obligaciones, según  corresponda, de acuerdo a su naturaleza:</w:t>
      </w:r>
    </w:p>
    <w:p w:rsidR="00F647B3" w:rsidRPr="00DD52C1" w:rsidRDefault="00F647B3" w:rsidP="00DD52C1">
      <w:pPr>
        <w:pStyle w:val="Prrafodelista"/>
        <w:spacing w:after="0" w:line="336" w:lineRule="auto"/>
        <w:ind w:left="567" w:right="567"/>
        <w:jc w:val="both"/>
        <w:rPr>
          <w:rFonts w:ascii="Lato" w:hAnsi="Lato"/>
          <w:i/>
        </w:rPr>
      </w:pPr>
      <w:r w:rsidRPr="00DD52C1">
        <w:rPr>
          <w:rFonts w:ascii="Lato" w:hAnsi="Lato"/>
          <w:i/>
        </w:rPr>
        <w:t>“…</w:t>
      </w:r>
    </w:p>
    <w:p w:rsidR="00F647B3" w:rsidRPr="00DD52C1" w:rsidRDefault="00F647B3" w:rsidP="00DD52C1">
      <w:pPr>
        <w:pStyle w:val="Prrafodelista"/>
        <w:spacing w:after="0" w:line="336" w:lineRule="auto"/>
        <w:ind w:left="567" w:right="567"/>
        <w:jc w:val="both"/>
        <w:rPr>
          <w:rFonts w:ascii="Lato" w:hAnsi="Lato"/>
          <w:i/>
        </w:rPr>
      </w:pPr>
      <w:r w:rsidRPr="00DD52C1">
        <w:rPr>
          <w:rFonts w:ascii="Lato" w:hAnsi="Lato"/>
          <w:b/>
          <w:i/>
        </w:rPr>
        <w:t>VI</w:t>
      </w:r>
      <w:r w:rsidRPr="00DD52C1">
        <w:rPr>
          <w:rFonts w:ascii="Lato" w:hAnsi="Lato"/>
          <w:i/>
        </w:rPr>
        <w:t xml:space="preserve">.- </w:t>
      </w:r>
      <w:r w:rsidRPr="00DD52C1">
        <w:rPr>
          <w:rFonts w:ascii="Lato" w:hAnsi="Lato"/>
          <w:b/>
          <w:i/>
        </w:rPr>
        <w:t>Proteger y resguardar la información clasificada como reservada o confidencial</w:t>
      </w:r>
    </w:p>
    <w:p w:rsidR="00F647B3" w:rsidRPr="00DD52C1" w:rsidRDefault="00F647B3" w:rsidP="00DD52C1">
      <w:pPr>
        <w:pStyle w:val="Prrafodelista"/>
        <w:spacing w:after="0" w:line="336" w:lineRule="auto"/>
        <w:ind w:left="567" w:right="567"/>
        <w:jc w:val="both"/>
        <w:rPr>
          <w:rFonts w:ascii="Lato" w:hAnsi="Lato"/>
          <w:i/>
        </w:rPr>
      </w:pPr>
      <w:r w:rsidRPr="00DD52C1">
        <w:rPr>
          <w:rFonts w:ascii="Lato" w:hAnsi="Lato"/>
          <w:i/>
        </w:rPr>
        <w:t>…”</w:t>
      </w:r>
    </w:p>
    <w:p w:rsidR="00F647B3" w:rsidRPr="005E5142" w:rsidRDefault="00F647B3" w:rsidP="00F647B3">
      <w:pPr>
        <w:tabs>
          <w:tab w:val="left" w:pos="1620"/>
          <w:tab w:val="left" w:pos="2025"/>
        </w:tabs>
        <w:spacing w:line="276" w:lineRule="auto"/>
        <w:ind w:firstLine="851"/>
        <w:jc w:val="both"/>
        <w:rPr>
          <w:rFonts w:ascii="Lato" w:hAnsi="Lato"/>
          <w:i/>
          <w:sz w:val="20"/>
          <w:szCs w:val="20"/>
        </w:rPr>
      </w:pPr>
    </w:p>
    <w:p w:rsidR="00F647B3" w:rsidRPr="005E5142" w:rsidRDefault="00F647B3" w:rsidP="00DD52C1">
      <w:pPr>
        <w:tabs>
          <w:tab w:val="left" w:pos="1620"/>
          <w:tab w:val="left" w:pos="2025"/>
        </w:tabs>
        <w:spacing w:line="336" w:lineRule="auto"/>
        <w:jc w:val="both"/>
        <w:rPr>
          <w:rFonts w:ascii="Lato" w:hAnsi="Lato"/>
          <w:i/>
        </w:rPr>
      </w:pPr>
      <w:r w:rsidRPr="005E5142">
        <w:rPr>
          <w:rFonts w:ascii="Lato" w:hAnsi="Lato"/>
          <w:i/>
        </w:rPr>
        <w:t xml:space="preserve">Para su información, le comunico que los diversos preceptos normativos citados, los puede usted consultar en la dirección:  </w:t>
      </w:r>
      <w:hyperlink r:id="rId9" w:history="1">
        <w:r w:rsidR="00DD52C1" w:rsidRPr="00870E18">
          <w:rPr>
            <w:rStyle w:val="Hipervnculo"/>
            <w:rFonts w:ascii="Lato" w:hAnsi="Lato"/>
            <w:i/>
          </w:rPr>
          <w:t>https://www.pjbc.gob.mx/LeyesYReglamentos.aspx</w:t>
        </w:r>
      </w:hyperlink>
      <w:r w:rsidRPr="005E5142">
        <w:rPr>
          <w:rFonts w:ascii="Lato" w:hAnsi="Lato"/>
          <w:i/>
        </w:rPr>
        <w:t xml:space="preserve"> </w:t>
      </w:r>
    </w:p>
    <w:p w:rsidR="00F647B3" w:rsidRPr="00DD52C1" w:rsidRDefault="00F647B3" w:rsidP="00DD52C1">
      <w:pPr>
        <w:spacing w:line="360" w:lineRule="auto"/>
        <w:jc w:val="both"/>
        <w:rPr>
          <w:rFonts w:ascii="Lato" w:hAnsi="Lato" w:cs="Arial"/>
          <w:b/>
        </w:rPr>
      </w:pPr>
    </w:p>
    <w:p w:rsidR="00D370E1" w:rsidRDefault="000A790C" w:rsidP="008D4FCE">
      <w:pPr>
        <w:spacing w:line="360" w:lineRule="auto"/>
        <w:jc w:val="both"/>
        <w:rPr>
          <w:rFonts w:ascii="Lato" w:hAnsi="Lato" w:cs="Arial"/>
          <w:b/>
        </w:rPr>
      </w:pPr>
      <w:r>
        <w:rPr>
          <w:rFonts w:ascii="Lato" w:hAnsi="Lato" w:cs="Arial"/>
          <w:b/>
        </w:rPr>
        <w:t>3</w:t>
      </w:r>
      <w:r w:rsidR="000D4426" w:rsidRPr="00A106CD">
        <w:rPr>
          <w:rFonts w:ascii="Lato" w:hAnsi="Lato" w:cs="Arial"/>
          <w:b/>
        </w:rPr>
        <w:t xml:space="preserve">) </w:t>
      </w:r>
      <w:r w:rsidR="00632933">
        <w:rPr>
          <w:rFonts w:ascii="Lato" w:hAnsi="Lato" w:cs="Arial"/>
          <w:b/>
        </w:rPr>
        <w:t>Del acto de clasificació</w:t>
      </w:r>
      <w:r w:rsidR="00DD52C1">
        <w:rPr>
          <w:rFonts w:ascii="Lato" w:hAnsi="Lato" w:cs="Arial"/>
          <w:b/>
        </w:rPr>
        <w:t>n de la información solicitada.</w:t>
      </w:r>
    </w:p>
    <w:p w:rsidR="008011A3" w:rsidRDefault="00E8669B" w:rsidP="006A743F">
      <w:pPr>
        <w:spacing w:line="360" w:lineRule="auto"/>
        <w:jc w:val="both"/>
        <w:rPr>
          <w:rFonts w:ascii="Lato" w:hAnsi="Lato"/>
        </w:rPr>
      </w:pPr>
      <w:r w:rsidRPr="00E8669B">
        <w:rPr>
          <w:rFonts w:ascii="Lato" w:hAnsi="Lato"/>
        </w:rPr>
        <w:t xml:space="preserve">Hecho el análisis del caso concreto, </w:t>
      </w:r>
      <w:r w:rsidR="006F5316">
        <w:rPr>
          <w:rFonts w:ascii="Lato" w:hAnsi="Lato"/>
        </w:rPr>
        <w:t xml:space="preserve">este Comité estima que </w:t>
      </w:r>
      <w:r w:rsidRPr="00E8669B">
        <w:rPr>
          <w:rFonts w:ascii="Lato" w:hAnsi="Lato"/>
        </w:rPr>
        <w:t>le asiste la razón</w:t>
      </w:r>
      <w:r>
        <w:rPr>
          <w:rFonts w:ascii="Lato" w:hAnsi="Lato"/>
        </w:rPr>
        <w:t xml:space="preserve"> a la Titular de la Unidad de Transparencia</w:t>
      </w:r>
      <w:r w:rsidRPr="00E8669B">
        <w:rPr>
          <w:rFonts w:ascii="Lato" w:hAnsi="Lato"/>
        </w:rPr>
        <w:t>,</w:t>
      </w:r>
      <w:r>
        <w:rPr>
          <w:rFonts w:ascii="Lato" w:hAnsi="Lato"/>
        </w:rPr>
        <w:t xml:space="preserve"> pues conforme al artículo </w:t>
      </w:r>
      <w:r w:rsidRPr="003E7F05">
        <w:rPr>
          <w:rFonts w:ascii="Lato" w:hAnsi="Lato"/>
        </w:rPr>
        <w:t>172 del Regl</w:t>
      </w:r>
      <w:r>
        <w:rPr>
          <w:rFonts w:ascii="Lato" w:hAnsi="Lato"/>
        </w:rPr>
        <w:t>amento de la Ley de la materia se</w:t>
      </w:r>
      <w:r w:rsidRPr="003E7F05">
        <w:rPr>
          <w:rFonts w:ascii="Lato" w:hAnsi="Lato"/>
        </w:rPr>
        <w:t xml:space="preserve"> consideran datos personales, de manera enunciativa más no limitativa: la </w:t>
      </w:r>
      <w:r w:rsidRPr="003E7F05">
        <w:rPr>
          <w:rFonts w:ascii="Lato" w:hAnsi="Lato"/>
          <w:b/>
        </w:rPr>
        <w:t>información numérica</w:t>
      </w:r>
      <w:r w:rsidRPr="003E7F05">
        <w:rPr>
          <w:rFonts w:ascii="Lato" w:hAnsi="Lato"/>
        </w:rPr>
        <w:t xml:space="preserve">, alfabética, gráfica, fotográfica, acústica o de cualquier otro tipo, concerniente a una </w:t>
      </w:r>
      <w:r w:rsidRPr="003E7F05">
        <w:rPr>
          <w:rFonts w:ascii="Lato" w:hAnsi="Lato"/>
          <w:b/>
        </w:rPr>
        <w:t xml:space="preserve">persona física o jurídica </w:t>
      </w:r>
      <w:r w:rsidR="006F5316">
        <w:rPr>
          <w:rFonts w:ascii="Lato" w:hAnsi="Lato"/>
          <w:b/>
        </w:rPr>
        <w:t xml:space="preserve">que la identifica o hace </w:t>
      </w:r>
      <w:r w:rsidRPr="003E7F05">
        <w:rPr>
          <w:rFonts w:ascii="Lato" w:hAnsi="Lato"/>
          <w:b/>
        </w:rPr>
        <w:t>identificable</w:t>
      </w:r>
      <w:r>
        <w:rPr>
          <w:rFonts w:ascii="Lato" w:hAnsi="Lato"/>
          <w:b/>
        </w:rPr>
        <w:t xml:space="preserve"> </w:t>
      </w:r>
      <w:r w:rsidR="006F5316">
        <w:rPr>
          <w:rFonts w:ascii="Lato" w:hAnsi="Lato"/>
          <w:b/>
        </w:rPr>
        <w:t xml:space="preserve">como lo es el número de </w:t>
      </w:r>
      <w:r w:rsidRPr="006F5316">
        <w:rPr>
          <w:rFonts w:ascii="Lato" w:hAnsi="Lato"/>
          <w:b/>
        </w:rPr>
        <w:t>expediente</w:t>
      </w:r>
      <w:r>
        <w:rPr>
          <w:rFonts w:ascii="Lato" w:hAnsi="Lato"/>
        </w:rPr>
        <w:t xml:space="preserve"> </w:t>
      </w:r>
      <w:r w:rsidR="00F72455">
        <w:rPr>
          <w:rFonts w:ascii="Lato" w:hAnsi="Lato"/>
        </w:rPr>
        <w:t xml:space="preserve">pues es </w:t>
      </w:r>
      <w:r>
        <w:rPr>
          <w:rFonts w:ascii="Lato" w:hAnsi="Lato"/>
        </w:rPr>
        <w:t xml:space="preserve">un dato </w:t>
      </w:r>
      <w:r w:rsidR="006F5316">
        <w:rPr>
          <w:rFonts w:ascii="Lato" w:hAnsi="Lato"/>
        </w:rPr>
        <w:t xml:space="preserve">que corresponde y </w:t>
      </w:r>
      <w:r>
        <w:rPr>
          <w:rFonts w:ascii="Lato" w:hAnsi="Lato"/>
        </w:rPr>
        <w:t>relaciona a las personas o partes legítimamente interesadas en un proceso judicial, que a juicio de esta autoridad, debe ser protegido de terceros no autorizados</w:t>
      </w:r>
      <w:r w:rsidR="00F72455">
        <w:rPr>
          <w:rFonts w:ascii="Lato" w:hAnsi="Lato"/>
        </w:rPr>
        <w:t xml:space="preserve">. </w:t>
      </w:r>
      <w:r w:rsidR="00BF1815">
        <w:rPr>
          <w:rFonts w:ascii="Lato" w:hAnsi="Lato"/>
        </w:rPr>
        <w:t xml:space="preserve"> </w:t>
      </w:r>
    </w:p>
    <w:p w:rsidR="000A790C" w:rsidRDefault="000A790C" w:rsidP="006A743F">
      <w:pPr>
        <w:tabs>
          <w:tab w:val="left" w:pos="1620"/>
          <w:tab w:val="left" w:pos="2025"/>
        </w:tabs>
        <w:spacing w:line="360" w:lineRule="auto"/>
        <w:jc w:val="both"/>
        <w:rPr>
          <w:rFonts w:ascii="Lato" w:hAnsi="Lato"/>
        </w:rPr>
      </w:pPr>
    </w:p>
    <w:p w:rsidR="00E8669B" w:rsidRDefault="00F72455" w:rsidP="006A743F">
      <w:pPr>
        <w:tabs>
          <w:tab w:val="left" w:pos="1620"/>
          <w:tab w:val="left" w:pos="2025"/>
        </w:tabs>
        <w:spacing w:line="360" w:lineRule="auto"/>
        <w:jc w:val="both"/>
        <w:rPr>
          <w:rFonts w:ascii="Lato" w:hAnsi="Lato"/>
          <w:szCs w:val="18"/>
        </w:rPr>
      </w:pPr>
      <w:r>
        <w:rPr>
          <w:rFonts w:ascii="Lato" w:hAnsi="Lato"/>
        </w:rPr>
        <w:t>A mayor abundamiento, debem</w:t>
      </w:r>
      <w:r w:rsidR="00E8669B" w:rsidRPr="00CF7EE9">
        <w:rPr>
          <w:rFonts w:ascii="Lato" w:hAnsi="Lato"/>
          <w:szCs w:val="18"/>
        </w:rPr>
        <w:t xml:space="preserve">os recordar que para el ejercicio del derecho de acceso a la información, la Constitución </w:t>
      </w:r>
      <w:r w:rsidR="00E8669B" w:rsidRPr="006C2D6D">
        <w:rPr>
          <w:rFonts w:ascii="Lato" w:hAnsi="Lato"/>
          <w:b/>
          <w:szCs w:val="18"/>
        </w:rPr>
        <w:t>distingue dos tipos de información</w:t>
      </w:r>
      <w:r w:rsidR="00E8669B" w:rsidRPr="00CF7EE9">
        <w:rPr>
          <w:rFonts w:ascii="Lato" w:hAnsi="Lato"/>
          <w:szCs w:val="18"/>
        </w:rPr>
        <w:t>: aquella referida en la fracción I del apartado A del artículo 6to. Constitucional</w:t>
      </w:r>
      <w:r w:rsidR="00E8669B">
        <w:rPr>
          <w:rFonts w:ascii="Lato" w:hAnsi="Lato"/>
          <w:szCs w:val="18"/>
        </w:rPr>
        <w:t>,</w:t>
      </w:r>
      <w:r w:rsidR="00E8669B" w:rsidRPr="00CF7EE9">
        <w:rPr>
          <w:rFonts w:ascii="Lato" w:hAnsi="Lato"/>
          <w:szCs w:val="18"/>
        </w:rPr>
        <w:t xml:space="preserve"> que </w:t>
      </w:r>
      <w:r w:rsidR="00E8669B" w:rsidRPr="006C2D6D">
        <w:rPr>
          <w:rFonts w:ascii="Lato" w:hAnsi="Lato"/>
          <w:b/>
          <w:szCs w:val="18"/>
        </w:rPr>
        <w:t xml:space="preserve">se denomina </w:t>
      </w:r>
      <w:r w:rsidR="00E8669B" w:rsidRPr="00CD0655">
        <w:rPr>
          <w:rFonts w:ascii="Lato" w:hAnsi="Lato"/>
          <w:b/>
          <w:szCs w:val="18"/>
          <w:u w:val="single"/>
        </w:rPr>
        <w:t>información pública</w:t>
      </w:r>
      <w:r w:rsidR="00E8669B" w:rsidRPr="006C2D6D">
        <w:rPr>
          <w:rFonts w:ascii="Lato" w:hAnsi="Lato"/>
          <w:b/>
          <w:szCs w:val="18"/>
        </w:rPr>
        <w:t xml:space="preserve"> y está referida a toda aquella que está en posesión de cualquier autoridad, </w:t>
      </w:r>
      <w:r w:rsidR="00E8669B" w:rsidRPr="00CD0655">
        <w:rPr>
          <w:rFonts w:ascii="Lato" w:hAnsi="Lato"/>
          <w:szCs w:val="18"/>
        </w:rPr>
        <w:t>entidades, órganos, organismos y de los Poderes del Estado</w:t>
      </w:r>
      <w:r w:rsidR="00E8669B" w:rsidRPr="006C2D6D">
        <w:rPr>
          <w:rFonts w:ascii="Lato" w:hAnsi="Lato"/>
          <w:b/>
          <w:szCs w:val="18"/>
        </w:rPr>
        <w:t xml:space="preserve"> </w:t>
      </w:r>
      <w:r w:rsidR="00E8669B" w:rsidRPr="00CF7EE9">
        <w:rPr>
          <w:rFonts w:ascii="Lato" w:hAnsi="Lato"/>
          <w:szCs w:val="18"/>
        </w:rPr>
        <w:t xml:space="preserve">e incluso a cualquier persona </w:t>
      </w:r>
      <w:r w:rsidR="00E8669B" w:rsidRPr="00CF7EE9">
        <w:rPr>
          <w:rFonts w:ascii="Lato" w:hAnsi="Lato"/>
          <w:szCs w:val="18"/>
        </w:rPr>
        <w:lastRenderedPageBreak/>
        <w:t xml:space="preserve">física o moral que reciba y ejerza recursos públicos o realice actos de autoridad </w:t>
      </w:r>
      <w:r w:rsidR="00E8669B" w:rsidRPr="006C2D6D">
        <w:rPr>
          <w:rFonts w:ascii="Lato" w:hAnsi="Lato"/>
          <w:b/>
          <w:szCs w:val="18"/>
        </w:rPr>
        <w:t xml:space="preserve">y por otro lado, está la </w:t>
      </w:r>
      <w:r w:rsidR="00E8669B" w:rsidRPr="00CD0655">
        <w:rPr>
          <w:rFonts w:ascii="Lato" w:hAnsi="Lato"/>
          <w:b/>
          <w:szCs w:val="18"/>
          <w:u w:val="single"/>
        </w:rPr>
        <w:t>información que se refiere a la vida privada y los datos personales</w:t>
      </w:r>
      <w:r w:rsidR="00E8669B" w:rsidRPr="006C2D6D">
        <w:rPr>
          <w:rFonts w:ascii="Lato" w:hAnsi="Lato"/>
          <w:b/>
          <w:szCs w:val="18"/>
        </w:rPr>
        <w:t>.</w:t>
      </w:r>
    </w:p>
    <w:p w:rsidR="005E5142" w:rsidRDefault="005E5142" w:rsidP="008D4FCE">
      <w:pPr>
        <w:spacing w:line="336" w:lineRule="auto"/>
        <w:jc w:val="both"/>
        <w:rPr>
          <w:rFonts w:ascii="Lato" w:hAnsi="Lato"/>
          <w:b/>
          <w:szCs w:val="18"/>
        </w:rPr>
      </w:pPr>
    </w:p>
    <w:p w:rsidR="00E8669B" w:rsidRDefault="00E8669B" w:rsidP="006A743F">
      <w:pPr>
        <w:spacing w:line="360" w:lineRule="auto"/>
        <w:jc w:val="both"/>
        <w:rPr>
          <w:rFonts w:ascii="Lato" w:hAnsi="Lato"/>
          <w:szCs w:val="18"/>
        </w:rPr>
      </w:pPr>
      <w:r w:rsidRPr="006C2D6D">
        <w:rPr>
          <w:rFonts w:ascii="Lato" w:hAnsi="Lato"/>
          <w:b/>
          <w:szCs w:val="18"/>
        </w:rPr>
        <w:t>En la primera categoría</w:t>
      </w:r>
      <w:r>
        <w:rPr>
          <w:rFonts w:ascii="Lato" w:hAnsi="Lato"/>
          <w:szCs w:val="18"/>
        </w:rPr>
        <w:t xml:space="preserve"> </w:t>
      </w:r>
      <w:r w:rsidRPr="006C2D6D">
        <w:rPr>
          <w:rFonts w:ascii="Lato" w:hAnsi="Lato"/>
          <w:b/>
          <w:szCs w:val="18"/>
        </w:rPr>
        <w:t>está incluido todo aquel documento que dé cuenta de las actividades desarrolladas por los entes del estado</w:t>
      </w:r>
      <w:r>
        <w:rPr>
          <w:rFonts w:ascii="Lato" w:hAnsi="Lato"/>
          <w:szCs w:val="18"/>
        </w:rPr>
        <w:t xml:space="preserve"> </w:t>
      </w:r>
      <w:r w:rsidRPr="006C2D6D">
        <w:rPr>
          <w:rFonts w:ascii="Lato" w:hAnsi="Lato"/>
          <w:b/>
          <w:szCs w:val="18"/>
        </w:rPr>
        <w:t>en ejercicio de sus funciones y que, entre otras cuestiones pueda transparentar la gestión pública</w:t>
      </w:r>
      <w:r>
        <w:rPr>
          <w:rFonts w:ascii="Lato" w:hAnsi="Lato"/>
          <w:szCs w:val="18"/>
        </w:rPr>
        <w:t xml:space="preserve">, </w:t>
      </w:r>
      <w:r w:rsidRPr="006C2D6D">
        <w:rPr>
          <w:rFonts w:ascii="Lato" w:hAnsi="Lato"/>
          <w:szCs w:val="18"/>
          <w:u w:val="single"/>
        </w:rPr>
        <w:t>así como favorecer la rendición de cuentas a los ciudadanos, de manera que éstos puedan valorar el desempeño de las autoridades</w:t>
      </w:r>
      <w:r>
        <w:rPr>
          <w:rFonts w:ascii="Lato" w:hAnsi="Lato"/>
          <w:szCs w:val="18"/>
        </w:rPr>
        <w:t>. Dicha información solo podrá ser reservada temporalmente por razones de interés público y de seguridad nacional, en los términos que fijen las leyes.</w:t>
      </w:r>
    </w:p>
    <w:p w:rsidR="00E8669B" w:rsidRDefault="00E8669B" w:rsidP="006A743F">
      <w:pPr>
        <w:spacing w:line="360" w:lineRule="auto"/>
        <w:jc w:val="both"/>
        <w:rPr>
          <w:rFonts w:ascii="Lato" w:hAnsi="Lato"/>
          <w:szCs w:val="18"/>
        </w:rPr>
      </w:pPr>
    </w:p>
    <w:p w:rsidR="00E8669B" w:rsidRDefault="00E8669B" w:rsidP="006A743F">
      <w:pPr>
        <w:spacing w:line="360" w:lineRule="auto"/>
        <w:jc w:val="both"/>
        <w:rPr>
          <w:rFonts w:ascii="Lato" w:hAnsi="Lato"/>
          <w:szCs w:val="18"/>
        </w:rPr>
      </w:pPr>
      <w:r w:rsidRPr="00CD0655">
        <w:rPr>
          <w:rFonts w:ascii="Lato" w:hAnsi="Lato"/>
          <w:b/>
          <w:szCs w:val="18"/>
          <w:u w:val="single"/>
        </w:rPr>
        <w:t>En la segunda categoría se ubica la información de los particulares</w:t>
      </w:r>
      <w:r>
        <w:rPr>
          <w:rFonts w:ascii="Lato" w:hAnsi="Lato"/>
          <w:b/>
          <w:szCs w:val="18"/>
        </w:rPr>
        <w:t>, que el e</w:t>
      </w:r>
      <w:r w:rsidRPr="006C2D6D">
        <w:rPr>
          <w:rFonts w:ascii="Lato" w:hAnsi="Lato"/>
          <w:b/>
          <w:szCs w:val="18"/>
        </w:rPr>
        <w:t xml:space="preserve">stado posee derivado de la natural interacción entre gobernantes y gobernados; </w:t>
      </w:r>
      <w:r>
        <w:rPr>
          <w:rFonts w:ascii="Lato" w:hAnsi="Lato"/>
          <w:szCs w:val="18"/>
        </w:rPr>
        <w:t xml:space="preserve">esto es, se trata de información relacionada a diversos fines –tributarios, administrativos, mercantiles, de relaciones familiares, entre otros- que el estado posee para el mejor desarrollo de sus atribuciones. </w:t>
      </w:r>
      <w:r w:rsidRPr="006C2D6D">
        <w:rPr>
          <w:rFonts w:ascii="Lato" w:hAnsi="Lato"/>
          <w:b/>
          <w:szCs w:val="18"/>
        </w:rPr>
        <w:t>Dicha información será protegida en los términos y con las excepciones que fijan las leyes.</w:t>
      </w:r>
    </w:p>
    <w:p w:rsidR="00E8669B" w:rsidRDefault="00E8669B" w:rsidP="006A743F">
      <w:pPr>
        <w:spacing w:line="360" w:lineRule="auto"/>
        <w:jc w:val="both"/>
        <w:rPr>
          <w:rFonts w:ascii="Lato" w:hAnsi="Lato"/>
          <w:szCs w:val="18"/>
        </w:rPr>
      </w:pPr>
    </w:p>
    <w:p w:rsidR="00E8669B" w:rsidRDefault="00E8669B" w:rsidP="006A743F">
      <w:pPr>
        <w:spacing w:line="360" w:lineRule="auto"/>
        <w:jc w:val="both"/>
        <w:rPr>
          <w:rFonts w:ascii="Lato" w:hAnsi="Lato"/>
          <w:szCs w:val="18"/>
        </w:rPr>
      </w:pPr>
      <w:r w:rsidRPr="006C2D6D">
        <w:rPr>
          <w:rFonts w:ascii="Lato" w:hAnsi="Lato"/>
          <w:b/>
          <w:szCs w:val="18"/>
        </w:rPr>
        <w:t>En materia de transparencia y acceso a la información, toda actuación judicial que compone un expediente judicial es pública,</w:t>
      </w:r>
      <w:r>
        <w:rPr>
          <w:rFonts w:ascii="Lato" w:hAnsi="Lato"/>
          <w:szCs w:val="18"/>
        </w:rPr>
        <w:t xml:space="preserve"> por regla general y </w:t>
      </w:r>
      <w:r w:rsidRPr="006C2D6D">
        <w:rPr>
          <w:rFonts w:ascii="Lato" w:hAnsi="Lato"/>
          <w:b/>
          <w:szCs w:val="18"/>
        </w:rPr>
        <w:t>en todos los casos las actuaciones judiciales admiten ser divulgadas en versión pública</w:t>
      </w:r>
      <w:r>
        <w:rPr>
          <w:rFonts w:ascii="Lato" w:hAnsi="Lato"/>
          <w:b/>
          <w:szCs w:val="18"/>
        </w:rPr>
        <w:t>,</w:t>
      </w:r>
      <w:r>
        <w:rPr>
          <w:rFonts w:ascii="Lato" w:hAnsi="Lato"/>
          <w:szCs w:val="18"/>
        </w:rPr>
        <w:t xml:space="preserve"> en las que se suprima la información confidencial o reservada de los datos personales que en ellas obren.</w:t>
      </w:r>
    </w:p>
    <w:p w:rsidR="00E8669B" w:rsidRDefault="00E8669B" w:rsidP="006A743F">
      <w:pPr>
        <w:spacing w:line="360" w:lineRule="auto"/>
        <w:jc w:val="both"/>
        <w:rPr>
          <w:rFonts w:ascii="Lato" w:hAnsi="Lato"/>
          <w:b/>
          <w:szCs w:val="18"/>
        </w:rPr>
      </w:pPr>
    </w:p>
    <w:p w:rsidR="005E5142" w:rsidRDefault="00E8669B" w:rsidP="006A743F">
      <w:pPr>
        <w:spacing w:line="360" w:lineRule="auto"/>
        <w:jc w:val="both"/>
        <w:rPr>
          <w:rFonts w:ascii="Lato" w:hAnsi="Lato"/>
          <w:szCs w:val="18"/>
        </w:rPr>
      </w:pPr>
      <w:r w:rsidRPr="00CD0655">
        <w:rPr>
          <w:rFonts w:ascii="Lato" w:hAnsi="Lato"/>
          <w:b/>
          <w:szCs w:val="18"/>
          <w:u w:val="single"/>
        </w:rPr>
        <w:t>En el caso concreto no se trata de transparentar y dar acceso a actuaciones judiciales</w:t>
      </w:r>
      <w:r w:rsidRPr="00CD0655">
        <w:rPr>
          <w:rFonts w:ascii="Lato" w:hAnsi="Lato"/>
          <w:szCs w:val="18"/>
          <w:u w:val="single"/>
        </w:rPr>
        <w:t xml:space="preserve">, </w:t>
      </w:r>
      <w:r w:rsidRPr="00CD0655">
        <w:rPr>
          <w:rFonts w:ascii="Lato" w:hAnsi="Lato"/>
          <w:b/>
          <w:szCs w:val="18"/>
          <w:u w:val="single"/>
        </w:rPr>
        <w:t xml:space="preserve">sino que se divulgue información que pertenece a la esfera privada de </w:t>
      </w:r>
      <w:r w:rsidR="006F5316">
        <w:rPr>
          <w:rFonts w:ascii="Lato" w:hAnsi="Lato"/>
          <w:b/>
          <w:szCs w:val="18"/>
          <w:u w:val="single"/>
        </w:rPr>
        <w:t>las partes de un proceso judicial</w:t>
      </w:r>
      <w:r>
        <w:rPr>
          <w:rFonts w:ascii="Lato" w:hAnsi="Lato"/>
          <w:szCs w:val="18"/>
        </w:rPr>
        <w:t xml:space="preserve">. </w:t>
      </w:r>
    </w:p>
    <w:p w:rsidR="005E5142" w:rsidRDefault="005E5142" w:rsidP="008D4FCE">
      <w:pPr>
        <w:spacing w:line="336" w:lineRule="auto"/>
        <w:jc w:val="both"/>
        <w:rPr>
          <w:rFonts w:ascii="Lato" w:hAnsi="Lato"/>
          <w:szCs w:val="18"/>
        </w:rPr>
      </w:pPr>
    </w:p>
    <w:p w:rsidR="00E8669B" w:rsidRDefault="00E8669B" w:rsidP="006A743F">
      <w:pPr>
        <w:spacing w:line="360" w:lineRule="auto"/>
        <w:jc w:val="both"/>
        <w:rPr>
          <w:rFonts w:ascii="Lato" w:hAnsi="Lato"/>
          <w:szCs w:val="18"/>
        </w:rPr>
      </w:pPr>
      <w:r>
        <w:rPr>
          <w:rFonts w:ascii="Lato" w:hAnsi="Lato"/>
          <w:szCs w:val="18"/>
        </w:rPr>
        <w:t xml:space="preserve">Vistas así las cosas, </w:t>
      </w:r>
      <w:r w:rsidR="00F72455" w:rsidRPr="005E5142">
        <w:rPr>
          <w:rFonts w:ascii="Lato" w:hAnsi="Lato"/>
          <w:szCs w:val="18"/>
          <w:u w:val="single"/>
        </w:rPr>
        <w:t xml:space="preserve">se reitera, </w:t>
      </w:r>
      <w:r w:rsidRPr="005E5142">
        <w:rPr>
          <w:rFonts w:ascii="Lato" w:hAnsi="Lato"/>
          <w:szCs w:val="18"/>
          <w:u w:val="single"/>
        </w:rPr>
        <w:t>no</w:t>
      </w:r>
      <w:r w:rsidRPr="006A3723">
        <w:rPr>
          <w:rFonts w:ascii="Lato" w:hAnsi="Lato"/>
          <w:szCs w:val="18"/>
          <w:u w:val="single"/>
        </w:rPr>
        <w:t xml:space="preserve"> se trata de conocer sobre la actividad propia de este sujeto obligado en su función de imp</w:t>
      </w:r>
      <w:r w:rsidR="001D4159">
        <w:rPr>
          <w:rFonts w:ascii="Lato" w:hAnsi="Lato"/>
          <w:szCs w:val="18"/>
          <w:u w:val="single"/>
        </w:rPr>
        <w:t xml:space="preserve">artir justicia, sino conocer </w:t>
      </w:r>
      <w:r w:rsidR="00F72455">
        <w:rPr>
          <w:rFonts w:ascii="Lato" w:hAnsi="Lato"/>
          <w:szCs w:val="18"/>
          <w:u w:val="single"/>
        </w:rPr>
        <w:t xml:space="preserve">datos relacionados a </w:t>
      </w:r>
      <w:r w:rsidR="006F5316">
        <w:rPr>
          <w:rFonts w:ascii="Lato" w:hAnsi="Lato"/>
          <w:szCs w:val="18"/>
          <w:u w:val="single"/>
        </w:rPr>
        <w:t xml:space="preserve">la vida privada </w:t>
      </w:r>
      <w:r w:rsidR="00F72455">
        <w:rPr>
          <w:rFonts w:ascii="Lato" w:hAnsi="Lato"/>
          <w:szCs w:val="18"/>
          <w:u w:val="single"/>
        </w:rPr>
        <w:t xml:space="preserve">de </w:t>
      </w:r>
      <w:r w:rsidRPr="006A3723">
        <w:rPr>
          <w:rFonts w:ascii="Lato" w:hAnsi="Lato"/>
          <w:szCs w:val="18"/>
          <w:u w:val="single"/>
        </w:rPr>
        <w:t>persona determinada ante los tribunales</w:t>
      </w:r>
      <w:r>
        <w:rPr>
          <w:rFonts w:ascii="Lato" w:hAnsi="Lato"/>
          <w:szCs w:val="18"/>
        </w:rPr>
        <w:t xml:space="preserve"> del Poder Judicial del Estado de </w:t>
      </w:r>
      <w:r>
        <w:rPr>
          <w:rFonts w:ascii="Lato" w:hAnsi="Lato"/>
          <w:szCs w:val="18"/>
        </w:rPr>
        <w:lastRenderedPageBreak/>
        <w:t xml:space="preserve">Baja California, motivo por el cual, </w:t>
      </w:r>
      <w:r w:rsidRPr="006A3723">
        <w:rPr>
          <w:rFonts w:ascii="Lato" w:hAnsi="Lato"/>
          <w:szCs w:val="18"/>
          <w:u w:val="single"/>
        </w:rPr>
        <w:t>esta autoridad debe proteger y tutelar ese espacio de la vida privada de los particulares y</w:t>
      </w:r>
      <w:r w:rsidRPr="00D370E1">
        <w:rPr>
          <w:rFonts w:ascii="Lato" w:hAnsi="Lato"/>
          <w:szCs w:val="18"/>
          <w:u w:val="single"/>
        </w:rPr>
        <w:t xml:space="preserve"> </w:t>
      </w:r>
      <w:r w:rsidRPr="006A3723">
        <w:rPr>
          <w:rFonts w:ascii="Lato" w:hAnsi="Lato"/>
          <w:szCs w:val="18"/>
          <w:u w:val="single"/>
        </w:rPr>
        <w:t xml:space="preserve">no está obligada a realizar una búsqueda requerida por un </w:t>
      </w:r>
      <w:r w:rsidRPr="001D4159">
        <w:rPr>
          <w:rFonts w:ascii="Lato" w:hAnsi="Lato"/>
          <w:szCs w:val="18"/>
          <w:u w:val="single"/>
        </w:rPr>
        <w:t>tercero extraño</w:t>
      </w:r>
      <w:r w:rsidRPr="006A3723">
        <w:rPr>
          <w:rFonts w:ascii="Lato" w:hAnsi="Lato"/>
          <w:szCs w:val="18"/>
          <w:u w:val="single"/>
        </w:rPr>
        <w:t xml:space="preserve"> a los intereses legítimos de las partes en un juicio jurisdiccional</w:t>
      </w:r>
      <w:r>
        <w:rPr>
          <w:rFonts w:ascii="Lato" w:hAnsi="Lato"/>
          <w:szCs w:val="18"/>
        </w:rPr>
        <w:t xml:space="preserve">; esto es, un tercero no autorizado. Lo anterior tiene su fundamento </w:t>
      </w:r>
      <w:r w:rsidR="001D4159">
        <w:rPr>
          <w:rFonts w:ascii="Lato" w:hAnsi="Lato"/>
          <w:szCs w:val="18"/>
        </w:rPr>
        <w:t xml:space="preserve">en </w:t>
      </w:r>
      <w:r>
        <w:rPr>
          <w:rFonts w:ascii="Lato" w:hAnsi="Lato"/>
          <w:szCs w:val="18"/>
        </w:rPr>
        <w:t xml:space="preserve">el artículo 171 del Reglamento de la Ley de Transparencia y Acceso a la </w:t>
      </w:r>
      <w:r w:rsidR="00150C05">
        <w:rPr>
          <w:rFonts w:ascii="Lato" w:hAnsi="Lato"/>
          <w:szCs w:val="18"/>
        </w:rPr>
        <w:t xml:space="preserve">Información Pública </w:t>
      </w:r>
      <w:r>
        <w:rPr>
          <w:rFonts w:ascii="Lato" w:hAnsi="Lato"/>
          <w:szCs w:val="18"/>
        </w:rPr>
        <w:t>para el Estado de Baja California que reza: “</w:t>
      </w:r>
      <w:r w:rsidRPr="006F5316">
        <w:rPr>
          <w:rFonts w:ascii="Lato" w:hAnsi="Lato"/>
          <w:b/>
          <w:i/>
          <w:szCs w:val="18"/>
        </w:rPr>
        <w:t>la información confidencial</w:t>
      </w:r>
      <w:r w:rsidRPr="006F5316">
        <w:rPr>
          <w:rFonts w:ascii="Lato" w:hAnsi="Lato"/>
          <w:i/>
          <w:szCs w:val="18"/>
        </w:rPr>
        <w:t xml:space="preserve"> no estará sujeta a temporalidad alguna,</w:t>
      </w:r>
      <w:r w:rsidRPr="00CD244E">
        <w:rPr>
          <w:rFonts w:ascii="Lato" w:hAnsi="Lato"/>
          <w:i/>
          <w:szCs w:val="18"/>
        </w:rPr>
        <w:t xml:space="preserve"> y </w:t>
      </w:r>
      <w:r w:rsidRPr="006F5316">
        <w:rPr>
          <w:rFonts w:ascii="Lato" w:hAnsi="Lato"/>
          <w:b/>
          <w:i/>
          <w:szCs w:val="18"/>
        </w:rPr>
        <w:t>solo podrá tener acceso a ella, los titulares de la misma, sus representantes y los servidores públicos facultados para ello</w:t>
      </w:r>
      <w:r w:rsidRPr="00CD244E">
        <w:rPr>
          <w:rFonts w:ascii="Lato" w:hAnsi="Lato"/>
          <w:i/>
          <w:szCs w:val="18"/>
        </w:rPr>
        <w:t xml:space="preserve">” </w:t>
      </w:r>
      <w:r w:rsidRPr="006A3723">
        <w:rPr>
          <w:rFonts w:ascii="Lato" w:hAnsi="Lato"/>
          <w:szCs w:val="18"/>
        </w:rPr>
        <w:t xml:space="preserve">y en el 184 del ordenamiento citado, </w:t>
      </w:r>
      <w:r>
        <w:rPr>
          <w:rFonts w:ascii="Lato" w:hAnsi="Lato"/>
          <w:szCs w:val="18"/>
        </w:rPr>
        <w:t xml:space="preserve">que </w:t>
      </w:r>
      <w:r w:rsidRPr="006A3723">
        <w:rPr>
          <w:rFonts w:ascii="Lato" w:hAnsi="Lato"/>
          <w:szCs w:val="18"/>
        </w:rPr>
        <w:t>dispone</w:t>
      </w:r>
      <w:r w:rsidRPr="00CD244E">
        <w:rPr>
          <w:rFonts w:ascii="Lato" w:hAnsi="Lato"/>
          <w:i/>
          <w:szCs w:val="18"/>
        </w:rPr>
        <w:t xml:space="preserve">: </w:t>
      </w:r>
      <w:r w:rsidR="00150C05">
        <w:rPr>
          <w:rFonts w:ascii="Lato" w:hAnsi="Lato"/>
          <w:i/>
          <w:szCs w:val="18"/>
        </w:rPr>
        <w:t>“</w:t>
      </w:r>
      <w:r w:rsidRPr="00CD244E">
        <w:rPr>
          <w:rFonts w:ascii="Lato" w:hAnsi="Lato"/>
          <w:i/>
          <w:szCs w:val="18"/>
        </w:rPr>
        <w:t xml:space="preserve">Es obligación de los servidores públicos, buscar y proporcionar la información </w:t>
      </w:r>
      <w:r w:rsidRPr="006A3723">
        <w:rPr>
          <w:rFonts w:ascii="Lato" w:hAnsi="Lato"/>
          <w:b/>
          <w:szCs w:val="18"/>
        </w:rPr>
        <w:t>p</w:t>
      </w:r>
      <w:r w:rsidRPr="00CD244E">
        <w:rPr>
          <w:rFonts w:ascii="Lato" w:hAnsi="Lato"/>
          <w:i/>
          <w:szCs w:val="18"/>
        </w:rPr>
        <w:t>ública, que no se encuentre reservada o sea confidencial</w:t>
      </w:r>
      <w:r>
        <w:rPr>
          <w:rFonts w:ascii="Lato" w:hAnsi="Lato"/>
          <w:szCs w:val="18"/>
        </w:rPr>
        <w:t>”.</w:t>
      </w:r>
    </w:p>
    <w:p w:rsidR="00E8669B" w:rsidRDefault="00E8669B" w:rsidP="006A743F">
      <w:pPr>
        <w:tabs>
          <w:tab w:val="left" w:pos="1620"/>
          <w:tab w:val="left" w:pos="2025"/>
        </w:tabs>
        <w:spacing w:line="360" w:lineRule="auto"/>
        <w:jc w:val="both"/>
        <w:rPr>
          <w:rFonts w:ascii="Lato" w:hAnsi="Lato"/>
        </w:rPr>
      </w:pPr>
    </w:p>
    <w:p w:rsidR="00632933" w:rsidRPr="00762A70" w:rsidRDefault="00AB21FB" w:rsidP="006A743F">
      <w:pPr>
        <w:spacing w:line="360" w:lineRule="auto"/>
        <w:jc w:val="both"/>
        <w:rPr>
          <w:rFonts w:ascii="Lato" w:hAnsi="Lato" w:cs="Arial"/>
        </w:rPr>
      </w:pPr>
      <w:r>
        <w:rPr>
          <w:rFonts w:ascii="Lato" w:hAnsi="Lato" w:cs="Arial"/>
        </w:rPr>
        <w:t>Para el acto de clasificación, cabe destacar que s</w:t>
      </w:r>
      <w:r w:rsidR="00632933" w:rsidRPr="00632933">
        <w:rPr>
          <w:rFonts w:ascii="Lato" w:hAnsi="Lato" w:cs="Arial"/>
        </w:rPr>
        <w:t xml:space="preserve">i bien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632933" w:rsidRDefault="00632933" w:rsidP="006A743F">
      <w:pPr>
        <w:spacing w:line="360" w:lineRule="auto"/>
        <w:jc w:val="both"/>
        <w:rPr>
          <w:rFonts w:ascii="Lato" w:hAnsi="Lato" w:cs="Arial"/>
        </w:rPr>
      </w:pPr>
    </w:p>
    <w:p w:rsidR="00632933" w:rsidRDefault="00632933" w:rsidP="006A743F">
      <w:pPr>
        <w:spacing w:line="360" w:lineRule="auto"/>
        <w:jc w:val="both"/>
        <w:rPr>
          <w:rFonts w:ascii="Lato" w:hAnsi="Lato" w:cs="Arial"/>
        </w:rPr>
      </w:pPr>
      <w:r w:rsidRPr="00762A70">
        <w:rPr>
          <w:rFonts w:ascii="Lato" w:hAnsi="Lato" w:cs="Arial"/>
        </w:rPr>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6A3723">
        <w:rPr>
          <w:rFonts w:ascii="Lato" w:hAnsi="Lato" w:cs="Arial"/>
          <w:b/>
        </w:rPr>
        <w:t>y por otra, determinar si con su difusión se causaría un serio perjuicio al interés o intereses públicos tutelados; es decir, la existencia de una expectativa razonable de daño presente, probable o específico</w:t>
      </w:r>
      <w:r w:rsidRPr="00762A70">
        <w:rPr>
          <w:rFonts w:ascii="Lato" w:hAnsi="Lato" w:cs="Arial"/>
        </w:rPr>
        <w:t xml:space="preserve">, a lo que la doctrina ha denominado la prueba de daño. </w:t>
      </w:r>
    </w:p>
    <w:p w:rsidR="008D4FCE" w:rsidRDefault="008D4FCE" w:rsidP="006A743F">
      <w:pPr>
        <w:spacing w:line="360" w:lineRule="auto"/>
        <w:jc w:val="both"/>
        <w:rPr>
          <w:rFonts w:ascii="Lato" w:hAnsi="Lato" w:cs="Arial"/>
        </w:rPr>
      </w:pPr>
    </w:p>
    <w:p w:rsidR="00632933" w:rsidRDefault="00B32751" w:rsidP="006A743F">
      <w:pPr>
        <w:spacing w:line="360"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w:t>
      </w:r>
      <w:r w:rsidR="00632933">
        <w:rPr>
          <w:rFonts w:ascii="Lato" w:hAnsi="Lato" w:cs="Arial"/>
        </w:rPr>
        <w:lastRenderedPageBreak/>
        <w:t xml:space="preserve">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5E5142" w:rsidRDefault="005E5142" w:rsidP="006A743F">
      <w:pPr>
        <w:spacing w:line="360" w:lineRule="auto"/>
        <w:jc w:val="both"/>
        <w:rPr>
          <w:rFonts w:ascii="Lato" w:hAnsi="Lato" w:cs="Arial"/>
        </w:rPr>
      </w:pPr>
    </w:p>
    <w:p w:rsidR="00FF50CD" w:rsidRDefault="00955451" w:rsidP="006A743F">
      <w:pPr>
        <w:spacing w:line="360" w:lineRule="auto"/>
        <w:jc w:val="both"/>
        <w:rPr>
          <w:rFonts w:ascii="Lato" w:hAnsi="Lato" w:cs="Arial"/>
        </w:rPr>
      </w:pPr>
      <w:r>
        <w:rPr>
          <w:rFonts w:ascii="Lato" w:hAnsi="Lato" w:cs="Arial"/>
        </w:rPr>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w:t>
      </w:r>
    </w:p>
    <w:p w:rsidR="001D4159" w:rsidRDefault="001D4159" w:rsidP="006A743F">
      <w:pPr>
        <w:spacing w:line="360" w:lineRule="auto"/>
        <w:jc w:val="both"/>
        <w:rPr>
          <w:rFonts w:ascii="Lato" w:hAnsi="Lato" w:cs="Arial"/>
        </w:rPr>
      </w:pPr>
    </w:p>
    <w:p w:rsidR="00B0476F" w:rsidRDefault="00955451" w:rsidP="008D4FCE">
      <w:pPr>
        <w:spacing w:line="360" w:lineRule="auto"/>
        <w:jc w:val="both"/>
        <w:rPr>
          <w:rFonts w:ascii="Lato" w:hAnsi="Lato"/>
        </w:rPr>
      </w:pPr>
      <w:r>
        <w:rPr>
          <w:rFonts w:ascii="Lato" w:hAnsi="Lato" w:cs="Arial"/>
        </w:rPr>
        <w:t xml:space="preserve">Para dicha determinación, </w:t>
      </w:r>
      <w:r w:rsidRPr="00B0476F">
        <w:rPr>
          <w:rFonts w:ascii="Lato" w:hAnsi="Lato" w:cs="Arial"/>
          <w:b/>
        </w:rPr>
        <w:t>es necesario conocer la naturaleza de la información requerida,</w:t>
      </w:r>
      <w:r>
        <w:rPr>
          <w:rFonts w:ascii="Lato" w:hAnsi="Lato" w:cs="Arial"/>
        </w:rPr>
        <w:t xml:space="preserve"> e</w:t>
      </w:r>
      <w:r w:rsidR="00560BEC">
        <w:rPr>
          <w:rFonts w:ascii="Lato" w:hAnsi="Lato" w:cs="Arial"/>
        </w:rPr>
        <w:t xml:space="preserve">n el caso que nos ocupa, </w:t>
      </w:r>
      <w:r w:rsidR="00560BEC" w:rsidRPr="00955451">
        <w:rPr>
          <w:rFonts w:ascii="Lato" w:hAnsi="Lato" w:cs="Arial"/>
          <w:b/>
        </w:rPr>
        <w:t xml:space="preserve">se solicita </w:t>
      </w:r>
      <w:r w:rsidR="006A3723">
        <w:rPr>
          <w:rFonts w:ascii="Lato" w:hAnsi="Lato" w:cs="Arial"/>
          <w:b/>
        </w:rPr>
        <w:t xml:space="preserve">que se indique </w:t>
      </w:r>
      <w:r w:rsidR="006F5316">
        <w:rPr>
          <w:rFonts w:ascii="Lato" w:hAnsi="Lato" w:cs="Arial"/>
          <w:b/>
        </w:rPr>
        <w:t>el número de expediente de un asunto de persona física determinada; esto es</w:t>
      </w:r>
      <w:r w:rsidR="000A790C">
        <w:rPr>
          <w:rFonts w:ascii="Lato" w:hAnsi="Lato" w:cs="Arial"/>
          <w:b/>
        </w:rPr>
        <w:t xml:space="preserve">, </w:t>
      </w:r>
      <w:r w:rsidR="00B0476F">
        <w:rPr>
          <w:rFonts w:ascii="Lato" w:hAnsi="Lato" w:cs="Arial"/>
          <w:b/>
        </w:rPr>
        <w:t xml:space="preserve">si </w:t>
      </w:r>
      <w:r w:rsidR="00B0476F" w:rsidRPr="00B0476F">
        <w:rPr>
          <w:rFonts w:ascii="Lato" w:hAnsi="Lato" w:cs="Arial"/>
        </w:rPr>
        <w:t xml:space="preserve">en el Poder Judicial </w:t>
      </w:r>
      <w:r w:rsidR="00B0476F">
        <w:rPr>
          <w:rFonts w:ascii="Lato" w:hAnsi="Lato" w:cs="Arial"/>
          <w:b/>
        </w:rPr>
        <w:t>existe registrad</w:t>
      </w:r>
      <w:r w:rsidR="00B0476F" w:rsidRPr="001D4159">
        <w:rPr>
          <w:rFonts w:ascii="Lato" w:hAnsi="Lato" w:cs="Arial"/>
          <w:b/>
        </w:rPr>
        <w:t>o un juicio en el que sea parte</w:t>
      </w:r>
      <w:r w:rsidR="000A790C">
        <w:rPr>
          <w:rFonts w:ascii="Lato" w:hAnsi="Lato" w:cs="Arial"/>
          <w:b/>
        </w:rPr>
        <w:t>,</w:t>
      </w:r>
      <w:r w:rsidR="00B0476F" w:rsidRPr="001D4159">
        <w:rPr>
          <w:rFonts w:ascii="Lato" w:hAnsi="Lato" w:cs="Arial"/>
          <w:b/>
        </w:rPr>
        <w:t xml:space="preserve"> </w:t>
      </w:r>
      <w:r w:rsidR="00B0476F">
        <w:rPr>
          <w:rFonts w:ascii="Lato" w:hAnsi="Lato" w:cs="Arial"/>
        </w:rPr>
        <w:t xml:space="preserve">que como ya quedó asentado, se trata de un dato de carácter personal, atendiendo lo establecido en el </w:t>
      </w:r>
      <w:r w:rsidR="00B0476F">
        <w:rPr>
          <w:rFonts w:ascii="Lato" w:hAnsi="Lato"/>
        </w:rPr>
        <w:t xml:space="preserve">artículo </w:t>
      </w:r>
      <w:r w:rsidR="00B0476F" w:rsidRPr="003E7F05">
        <w:rPr>
          <w:rFonts w:ascii="Lato" w:hAnsi="Lato"/>
        </w:rPr>
        <w:t>172 del Regl</w:t>
      </w:r>
      <w:r w:rsidR="00B0476F">
        <w:rPr>
          <w:rFonts w:ascii="Lato" w:hAnsi="Lato"/>
        </w:rPr>
        <w:t xml:space="preserve">amento de la Ley de la materia que </w:t>
      </w:r>
      <w:r w:rsidR="00B0476F" w:rsidRPr="003E7F05">
        <w:rPr>
          <w:rFonts w:ascii="Lato" w:hAnsi="Lato"/>
        </w:rPr>
        <w:t xml:space="preserve">considera </w:t>
      </w:r>
      <w:r w:rsidR="00B0476F">
        <w:rPr>
          <w:rFonts w:ascii="Lato" w:hAnsi="Lato"/>
        </w:rPr>
        <w:t xml:space="preserve">entre los </w:t>
      </w:r>
      <w:r w:rsidR="00B0476F" w:rsidRPr="003E7F05">
        <w:rPr>
          <w:rFonts w:ascii="Lato" w:hAnsi="Lato"/>
        </w:rPr>
        <w:t xml:space="preserve">datos personales, la </w:t>
      </w:r>
      <w:r w:rsidR="00B0476F" w:rsidRPr="003E7F05">
        <w:rPr>
          <w:rFonts w:ascii="Lato" w:hAnsi="Lato"/>
          <w:b/>
        </w:rPr>
        <w:t>información numérica</w:t>
      </w:r>
      <w:r w:rsidR="00B0476F" w:rsidRPr="003E7F05">
        <w:rPr>
          <w:rFonts w:ascii="Lato" w:hAnsi="Lato"/>
        </w:rPr>
        <w:t xml:space="preserve">, concerniente a una </w:t>
      </w:r>
      <w:r w:rsidR="00B0476F" w:rsidRPr="003E7F05">
        <w:rPr>
          <w:rFonts w:ascii="Lato" w:hAnsi="Lato"/>
          <w:b/>
        </w:rPr>
        <w:t>persona física o jurídica identificada o identificable</w:t>
      </w:r>
      <w:r w:rsidR="00B0476F">
        <w:rPr>
          <w:rFonts w:ascii="Lato" w:hAnsi="Lato"/>
          <w:b/>
        </w:rPr>
        <w:t xml:space="preserve"> </w:t>
      </w:r>
      <w:r w:rsidR="00B0476F" w:rsidRPr="00B0476F">
        <w:rPr>
          <w:rFonts w:ascii="Lato" w:hAnsi="Lato"/>
        </w:rPr>
        <w:t>y</w:t>
      </w:r>
      <w:r w:rsidR="00AB21FB">
        <w:rPr>
          <w:rFonts w:ascii="Lato" w:hAnsi="Lato"/>
        </w:rPr>
        <w:t xml:space="preserve">; </w:t>
      </w:r>
      <w:r w:rsidR="00B0476F">
        <w:rPr>
          <w:rFonts w:ascii="Lato" w:hAnsi="Lato"/>
        </w:rPr>
        <w:t xml:space="preserve">en este caso, el número del expediente es </w:t>
      </w:r>
      <w:r w:rsidR="00E429D3">
        <w:rPr>
          <w:rFonts w:ascii="Lato" w:hAnsi="Lato"/>
        </w:rPr>
        <w:t>el</w:t>
      </w:r>
      <w:r w:rsidR="00B0476F">
        <w:rPr>
          <w:rFonts w:ascii="Lato" w:hAnsi="Lato"/>
        </w:rPr>
        <w:t xml:space="preserve"> dato personal que se relaciona e identifica a las personas o partes legítimamente interesadas en un proceso judicial, que a juicio de esta autoridad, debe ser prote</w:t>
      </w:r>
      <w:r w:rsidR="00AB21FB">
        <w:rPr>
          <w:rFonts w:ascii="Lato" w:hAnsi="Lato"/>
        </w:rPr>
        <w:t>gido de terceros no autorizados</w:t>
      </w:r>
      <w:r w:rsidR="00630E08">
        <w:rPr>
          <w:rFonts w:ascii="Lato" w:hAnsi="Lato"/>
        </w:rPr>
        <w:t>.</w:t>
      </w:r>
      <w:r w:rsidR="00B0476F">
        <w:rPr>
          <w:rFonts w:ascii="Lato" w:hAnsi="Lato"/>
        </w:rPr>
        <w:t xml:space="preserve"> </w:t>
      </w:r>
    </w:p>
    <w:p w:rsidR="00E429D3" w:rsidRDefault="00E429D3" w:rsidP="00B0476F">
      <w:pPr>
        <w:tabs>
          <w:tab w:val="left" w:pos="1620"/>
          <w:tab w:val="left" w:pos="2025"/>
        </w:tabs>
        <w:spacing w:line="360" w:lineRule="auto"/>
        <w:jc w:val="both"/>
        <w:rPr>
          <w:rFonts w:ascii="Lato" w:hAnsi="Lato"/>
        </w:rPr>
      </w:pPr>
    </w:p>
    <w:p w:rsidR="00632933" w:rsidRDefault="009A22FC" w:rsidP="00630E08">
      <w:pPr>
        <w:tabs>
          <w:tab w:val="left" w:pos="1620"/>
          <w:tab w:val="left" w:pos="2025"/>
        </w:tabs>
        <w:spacing w:line="348" w:lineRule="auto"/>
        <w:jc w:val="both"/>
        <w:rPr>
          <w:rFonts w:ascii="Lato" w:hAnsi="Lato" w:cs="Arial"/>
          <w:i/>
        </w:rPr>
      </w:pPr>
      <w:r>
        <w:rPr>
          <w:rFonts w:ascii="Lato" w:hAnsi="Lato"/>
        </w:rPr>
        <w:t>Para reforzar la afirmación anterior, c</w:t>
      </w:r>
      <w:r w:rsidR="00E429D3">
        <w:rPr>
          <w:rFonts w:ascii="Lato" w:hAnsi="Lato"/>
        </w:rPr>
        <w:t xml:space="preserve">abe citar </w:t>
      </w:r>
      <w:r>
        <w:rPr>
          <w:rFonts w:ascii="Lato" w:hAnsi="Lato"/>
        </w:rPr>
        <w:t>el documento publicado por el Instituto Nacional de Acceso a la Información titulado “Metodología de Análisis de Riesgo BAA</w:t>
      </w:r>
      <w:r w:rsidR="00150C05">
        <w:rPr>
          <w:rFonts w:ascii="Lato" w:hAnsi="Lato"/>
        </w:rPr>
        <w:t>”</w:t>
      </w:r>
      <w:r>
        <w:rPr>
          <w:rFonts w:ascii="Lato" w:hAnsi="Lato"/>
        </w:rPr>
        <w:t xml:space="preserve">, que en su página 3, se reflexiona sobre la necesidad de </w:t>
      </w:r>
      <w:r>
        <w:rPr>
          <w:rFonts w:ascii="Lato" w:hAnsi="Lato"/>
          <w:b/>
        </w:rPr>
        <w:t xml:space="preserve">realizar </w:t>
      </w:r>
      <w:r w:rsidR="00E429D3" w:rsidRPr="00977604">
        <w:rPr>
          <w:rFonts w:ascii="Lato" w:hAnsi="Lato"/>
          <w:b/>
        </w:rPr>
        <w:t>una clasificación de los datos personales en función de tales variables</w:t>
      </w:r>
      <w:r>
        <w:rPr>
          <w:rFonts w:ascii="Lato" w:hAnsi="Lato"/>
          <w:b/>
        </w:rPr>
        <w:t xml:space="preserve"> que se presentan dentro de un análisis de riesgo </w:t>
      </w:r>
      <w:r w:rsidRPr="009A22FC">
        <w:rPr>
          <w:rFonts w:ascii="Lato" w:hAnsi="Lato"/>
        </w:rPr>
        <w:t>y clasifica a los datos personales en 4 categorías</w:t>
      </w:r>
      <w:r>
        <w:rPr>
          <w:rFonts w:ascii="Lato" w:hAnsi="Lato"/>
        </w:rPr>
        <w:t xml:space="preserve"> de acuerdo con la criticidad de los mismo</w:t>
      </w:r>
      <w:r w:rsidR="007D1F5E">
        <w:rPr>
          <w:rFonts w:ascii="Lato" w:hAnsi="Lato"/>
        </w:rPr>
        <w:t>s</w:t>
      </w:r>
      <w:r>
        <w:rPr>
          <w:rFonts w:ascii="Lato" w:hAnsi="Lato"/>
        </w:rPr>
        <w:t xml:space="preserve"> y dentro de los </w:t>
      </w:r>
      <w:r w:rsidRPr="007D1F5E">
        <w:rPr>
          <w:rFonts w:ascii="Lato" w:hAnsi="Lato"/>
          <w:u w:val="single"/>
        </w:rPr>
        <w:t>datos de riesgo inherente medio</w:t>
      </w:r>
      <w:r w:rsidR="00150C05">
        <w:rPr>
          <w:rFonts w:ascii="Lato" w:hAnsi="Lato"/>
        </w:rPr>
        <w:t xml:space="preserve">, </w:t>
      </w:r>
      <w:r w:rsidR="00150C05" w:rsidRPr="001D4159">
        <w:rPr>
          <w:rFonts w:ascii="Lato" w:hAnsi="Lato"/>
        </w:rPr>
        <w:t>contempla entre otros</w:t>
      </w:r>
      <w:r>
        <w:rPr>
          <w:rFonts w:ascii="Lato" w:hAnsi="Lato"/>
        </w:rPr>
        <w:t xml:space="preserve"> los d</w:t>
      </w:r>
      <w:r w:rsidR="00E429D3" w:rsidRPr="00977604">
        <w:rPr>
          <w:rFonts w:ascii="Lato" w:hAnsi="Lato"/>
        </w:rPr>
        <w:t xml:space="preserve">atos que permiten inferir el </w:t>
      </w:r>
      <w:r w:rsidR="00E429D3" w:rsidRPr="00977604">
        <w:rPr>
          <w:rFonts w:ascii="Lato" w:hAnsi="Lato"/>
          <w:b/>
        </w:rPr>
        <w:t>patrimonio</w:t>
      </w:r>
      <w:r w:rsidR="00E429D3" w:rsidRPr="00977604">
        <w:rPr>
          <w:rFonts w:ascii="Lato" w:hAnsi="Lato"/>
        </w:rPr>
        <w:t xml:space="preserve"> de una persona, </w:t>
      </w:r>
      <w:r w:rsidR="007D1F5E" w:rsidRPr="00150C05">
        <w:rPr>
          <w:rFonts w:ascii="Lato" w:hAnsi="Lato"/>
          <w:b/>
        </w:rPr>
        <w:t>d</w:t>
      </w:r>
      <w:r w:rsidR="00E429D3" w:rsidRPr="00977604">
        <w:rPr>
          <w:rFonts w:ascii="Lato" w:hAnsi="Lato"/>
          <w:b/>
        </w:rPr>
        <w:t>atos de autentificación</w:t>
      </w:r>
      <w:r w:rsidR="007D1F5E">
        <w:rPr>
          <w:rFonts w:ascii="Lato" w:hAnsi="Lato"/>
          <w:b/>
        </w:rPr>
        <w:t xml:space="preserve"> </w:t>
      </w:r>
      <w:r w:rsidR="007D1F5E" w:rsidRPr="007D1F5E">
        <w:rPr>
          <w:rFonts w:ascii="Lato" w:hAnsi="Lato"/>
        </w:rPr>
        <w:t>y los</w:t>
      </w:r>
      <w:r w:rsidR="007D1F5E">
        <w:rPr>
          <w:rFonts w:ascii="Lato" w:hAnsi="Lato"/>
          <w:b/>
        </w:rPr>
        <w:t xml:space="preserve"> d</w:t>
      </w:r>
      <w:r w:rsidR="00E429D3" w:rsidRPr="00977604">
        <w:rPr>
          <w:rFonts w:ascii="Lato" w:hAnsi="Lato"/>
          <w:b/>
        </w:rPr>
        <w:t>atos jurídicos</w:t>
      </w:r>
      <w:r w:rsidR="00E429D3" w:rsidRPr="00977604">
        <w:rPr>
          <w:rFonts w:ascii="Lato" w:hAnsi="Lato"/>
        </w:rPr>
        <w:t>, tales como:</w:t>
      </w:r>
      <w:r w:rsidR="007D1F5E">
        <w:rPr>
          <w:rFonts w:ascii="Lato" w:hAnsi="Lato"/>
        </w:rPr>
        <w:t xml:space="preserve"> a</w:t>
      </w:r>
      <w:r w:rsidR="00E429D3" w:rsidRPr="00977604">
        <w:rPr>
          <w:rFonts w:ascii="Lato" w:hAnsi="Lato"/>
        </w:rPr>
        <w:t>ntecedentes penales</w:t>
      </w:r>
      <w:r w:rsidR="007D1F5E">
        <w:rPr>
          <w:rFonts w:ascii="Lato" w:hAnsi="Lato"/>
        </w:rPr>
        <w:t>, a</w:t>
      </w:r>
      <w:r w:rsidR="00E429D3" w:rsidRPr="00977604">
        <w:rPr>
          <w:rFonts w:ascii="Lato" w:hAnsi="Lato"/>
        </w:rPr>
        <w:t>mparos</w:t>
      </w:r>
      <w:r w:rsidR="007D1F5E">
        <w:rPr>
          <w:rFonts w:ascii="Lato" w:hAnsi="Lato"/>
        </w:rPr>
        <w:t>, d</w:t>
      </w:r>
      <w:r w:rsidR="007D1F5E" w:rsidRPr="00977604">
        <w:rPr>
          <w:rFonts w:ascii="Lato" w:hAnsi="Lato"/>
        </w:rPr>
        <w:t xml:space="preserve">emandas, </w:t>
      </w:r>
      <w:r w:rsidR="007D1F5E">
        <w:rPr>
          <w:rFonts w:ascii="Lato" w:hAnsi="Lato"/>
        </w:rPr>
        <w:t>c</w:t>
      </w:r>
      <w:r w:rsidR="007D1F5E" w:rsidRPr="00977604">
        <w:rPr>
          <w:rFonts w:ascii="Lato" w:hAnsi="Lato"/>
        </w:rPr>
        <w:t>ontratos</w:t>
      </w:r>
      <w:r w:rsidR="007D1F5E">
        <w:rPr>
          <w:rFonts w:ascii="Lato" w:hAnsi="Lato"/>
        </w:rPr>
        <w:t>, l</w:t>
      </w:r>
      <w:r w:rsidR="007D1F5E" w:rsidRPr="00977604">
        <w:rPr>
          <w:rFonts w:ascii="Lato" w:hAnsi="Lato"/>
        </w:rPr>
        <w:t>itigios</w:t>
      </w:r>
      <w:r w:rsidR="007D1F5E">
        <w:rPr>
          <w:rFonts w:ascii="Lato" w:hAnsi="Lato"/>
        </w:rPr>
        <w:t xml:space="preserve"> </w:t>
      </w:r>
      <w:r w:rsidR="007D1F5E">
        <w:rPr>
          <w:rFonts w:ascii="Lato" w:hAnsi="Lato"/>
        </w:rPr>
        <w:lastRenderedPageBreak/>
        <w:t xml:space="preserve">y </w:t>
      </w:r>
      <w:r w:rsidR="007D1F5E" w:rsidRPr="007D1F5E">
        <w:rPr>
          <w:rFonts w:ascii="Lato" w:hAnsi="Lato"/>
          <w:b/>
        </w:rPr>
        <w:t>cualquier tipo de información relativa a una persona que se encuentra sujeta a un procedimiento administrativo llevado en forma de juicio o jurisdiccional en  materia laboral, civil, penal o administrativa</w:t>
      </w:r>
      <w:r w:rsidR="000A790C">
        <w:rPr>
          <w:rFonts w:ascii="Lato" w:hAnsi="Lato"/>
          <w:b/>
        </w:rPr>
        <w:t xml:space="preserve">. </w:t>
      </w:r>
      <w:r w:rsidR="000A790C" w:rsidRPr="000A790C">
        <w:rPr>
          <w:rFonts w:ascii="Lato" w:hAnsi="Lato"/>
        </w:rPr>
        <w:t>I</w:t>
      </w:r>
      <w:r w:rsidR="00955451" w:rsidRPr="00150C05">
        <w:rPr>
          <w:rFonts w:ascii="Lato" w:hAnsi="Lato"/>
        </w:rPr>
        <w:t>nformación</w:t>
      </w:r>
      <w:r w:rsidR="00955451" w:rsidRPr="002A1BD3">
        <w:rPr>
          <w:rFonts w:ascii="Lato" w:hAnsi="Lato" w:cs="Arial"/>
        </w:rPr>
        <w:t xml:space="preserve"> que sin duda, pertenece a la esfera jurídica privada de los particulares y</w:t>
      </w:r>
      <w:r w:rsidR="002A1BD3">
        <w:rPr>
          <w:rFonts w:ascii="Lato" w:hAnsi="Lato" w:cs="Arial"/>
        </w:rPr>
        <w:t>,</w:t>
      </w:r>
      <w:r w:rsidR="00955451">
        <w:rPr>
          <w:rFonts w:ascii="Lato" w:hAnsi="Lato" w:cs="Arial"/>
          <w:b/>
        </w:rPr>
        <w:t xml:space="preserve"> para que pueda ser comunica</w:t>
      </w:r>
      <w:r w:rsidR="002A1BD3">
        <w:rPr>
          <w:rFonts w:ascii="Lato" w:hAnsi="Lato" w:cs="Arial"/>
          <w:b/>
        </w:rPr>
        <w:t>da</w:t>
      </w:r>
      <w:r w:rsidR="00955451">
        <w:rPr>
          <w:rFonts w:ascii="Lato" w:hAnsi="Lato" w:cs="Arial"/>
          <w:b/>
        </w:rPr>
        <w:t xml:space="preserve"> a terceros, requiere del consentimiento de sus titulares, </w:t>
      </w:r>
      <w:r w:rsidR="00955451"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w:t>
      </w:r>
      <w:r w:rsidR="00AB21FB">
        <w:rPr>
          <w:rFonts w:ascii="Lato" w:hAnsi="Lato" w:cs="Arial"/>
          <w:b/>
          <w:i/>
        </w:rPr>
        <w:t xml:space="preserve"> tales </w:t>
      </w:r>
      <w:r w:rsidR="00632933" w:rsidRPr="00762A70">
        <w:rPr>
          <w:rFonts w:ascii="Lato" w:hAnsi="Lato" w:cs="Arial"/>
          <w:b/>
          <w:i/>
        </w:rPr>
        <w:t xml:space="preserve"> </w:t>
      </w:r>
      <w:r w:rsidR="00632933" w:rsidRPr="00AB21FB">
        <w:rPr>
          <w:rFonts w:ascii="Lato" w:hAnsi="Lato" w:cs="Arial"/>
          <w:b/>
          <w:i/>
        </w:rPr>
        <w:t>como el nombre</w:t>
      </w:r>
      <w:r w:rsidR="00632933" w:rsidRPr="007D1F5E">
        <w:rPr>
          <w:rFonts w:ascii="Lato" w:hAnsi="Lato" w:cs="Arial"/>
          <w:i/>
        </w:rPr>
        <w:t xml:space="preserve">, </w:t>
      </w:r>
      <w:r w:rsidR="00AB21FB">
        <w:rPr>
          <w:rFonts w:ascii="Lato" w:hAnsi="Lato" w:cs="Arial"/>
          <w:i/>
        </w:rPr>
        <w:t xml:space="preserve">(…) </w:t>
      </w:r>
      <w:r w:rsidR="000A790C">
        <w:rPr>
          <w:rFonts w:ascii="Lato" w:hAnsi="Lato" w:cs="Arial"/>
          <w:i/>
        </w:rPr>
        <w:t>“.</w:t>
      </w:r>
    </w:p>
    <w:p w:rsidR="008D4FCE" w:rsidRDefault="008D4FCE" w:rsidP="008D4FCE">
      <w:pPr>
        <w:spacing w:line="360" w:lineRule="auto"/>
        <w:jc w:val="both"/>
        <w:rPr>
          <w:rFonts w:ascii="Lato" w:hAnsi="Lato" w:cs="Arial"/>
        </w:rPr>
      </w:pPr>
    </w:p>
    <w:p w:rsidR="001D4159" w:rsidRDefault="001D4159" w:rsidP="008D4FCE">
      <w:pPr>
        <w:spacing w:line="360" w:lineRule="auto"/>
        <w:jc w:val="both"/>
        <w:rPr>
          <w:rFonts w:ascii="Lato" w:hAnsi="Lato" w:cs="Arial"/>
        </w:rPr>
      </w:pPr>
      <w:r>
        <w:rPr>
          <w:rFonts w:ascii="Lato" w:hAnsi="Lato" w:cs="Arial"/>
        </w:rPr>
        <w:t xml:space="preserve">Es importante </w:t>
      </w:r>
      <w:r w:rsidR="005E5142">
        <w:rPr>
          <w:rFonts w:ascii="Lato" w:hAnsi="Lato" w:cs="Arial"/>
        </w:rPr>
        <w:t xml:space="preserve">seguir reiterando </w:t>
      </w:r>
      <w:r>
        <w:rPr>
          <w:rFonts w:ascii="Lato" w:hAnsi="Lato" w:cs="Arial"/>
        </w:rPr>
        <w:t>en este apartado lo establecido en el diverso numeral 171 del Reglamento referido, de lo cual se desprende con meridiana claridad que los terceros no podrán tener acceso a la misma, salvo que cuenten con el consentimiento de sus titulares, como ya quedo señalado, lo que en el caso no sucede.</w:t>
      </w:r>
    </w:p>
    <w:p w:rsidR="00806072" w:rsidRDefault="00150C05" w:rsidP="008D4FCE">
      <w:pPr>
        <w:spacing w:line="360" w:lineRule="auto"/>
        <w:jc w:val="both"/>
        <w:rPr>
          <w:rFonts w:ascii="Lato" w:hAnsi="Lato" w:cs="Arial"/>
        </w:rPr>
      </w:pPr>
      <w:r>
        <w:rPr>
          <w:rFonts w:ascii="Lato" w:hAnsi="Lato" w:cs="Arial"/>
        </w:rPr>
        <w:lastRenderedPageBreak/>
        <w:t>3</w:t>
      </w:r>
      <w:r w:rsidR="00632933" w:rsidRPr="00762A70">
        <w:rPr>
          <w:rFonts w:ascii="Lato" w:hAnsi="Lato" w:cs="Arial"/>
        </w:rPr>
        <w:t xml:space="preserve">) </w:t>
      </w:r>
      <w:r w:rsidR="00632933" w:rsidRPr="00762A70">
        <w:rPr>
          <w:rFonts w:ascii="Lato" w:hAnsi="Lato" w:cs="Arial"/>
          <w:b/>
        </w:rPr>
        <w:t>De la prueba de daño</w:t>
      </w:r>
      <w:r w:rsidR="00632933" w:rsidRPr="00762A70">
        <w:rPr>
          <w:rFonts w:ascii="Lato" w:hAnsi="Lato" w:cs="Arial"/>
        </w:rPr>
        <w:t>. Atendiendo a los diversos numerales 1</w:t>
      </w:r>
      <w:r w:rsidR="00632933">
        <w:rPr>
          <w:rFonts w:ascii="Lato" w:hAnsi="Lato" w:cs="Arial"/>
        </w:rPr>
        <w:t>75</w:t>
      </w:r>
      <w:r w:rsidR="00632933" w:rsidRPr="00762A70">
        <w:rPr>
          <w:rFonts w:ascii="Lato" w:hAnsi="Lato" w:cs="Arial"/>
        </w:rPr>
        <w:t xml:space="preserve"> y 1</w:t>
      </w:r>
      <w:r w:rsidR="00632933">
        <w:rPr>
          <w:rFonts w:ascii="Lato" w:hAnsi="Lato" w:cs="Arial"/>
        </w:rPr>
        <w:t>77</w:t>
      </w:r>
      <w:r w:rsidR="00632933" w:rsidRPr="00762A70">
        <w:rPr>
          <w:rFonts w:ascii="Lato" w:hAnsi="Lato" w:cs="Arial"/>
        </w:rPr>
        <w:t xml:space="preserve"> del Reglamento de la Ley estatal de la materia</w:t>
      </w:r>
      <w:r w:rsidR="00806072">
        <w:rPr>
          <w:rFonts w:ascii="Lato" w:hAnsi="Lato" w:cs="Arial"/>
        </w:rPr>
        <w:t xml:space="preserve">, </w:t>
      </w:r>
      <w:r w:rsidR="00632933"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aplicación de la prueba de daño, de conformidad con lo dispuesto en la </w:t>
      </w:r>
      <w:r w:rsidR="00806072">
        <w:rPr>
          <w:rFonts w:ascii="Lato" w:hAnsi="Lato" w:cs="Arial"/>
        </w:rPr>
        <w:t xml:space="preserve">ya </w:t>
      </w:r>
      <w:r w:rsidR="00632933" w:rsidRPr="00762A70">
        <w:rPr>
          <w:rFonts w:ascii="Lato" w:hAnsi="Lato" w:cs="Arial"/>
        </w:rPr>
        <w:t>citada Ley estatal</w:t>
      </w:r>
      <w:r w:rsidR="00806072">
        <w:rPr>
          <w:rFonts w:ascii="Lato" w:hAnsi="Lato" w:cs="Arial"/>
        </w:rPr>
        <w:t xml:space="preserve">, </w:t>
      </w:r>
      <w:r w:rsidR="00632933"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00632933" w:rsidRPr="00762A70">
        <w:rPr>
          <w:rFonts w:ascii="Lato" w:hAnsi="Lato" w:cs="Arial"/>
        </w:rPr>
        <w:t xml:space="preserve"> los Lineamientos emitidos por el Sistema Nacional de Transparencia y demás disposiciones aplicables. </w:t>
      </w:r>
    </w:p>
    <w:p w:rsidR="00806072" w:rsidRPr="008D4FCE" w:rsidRDefault="00806072" w:rsidP="008D4FCE">
      <w:pPr>
        <w:spacing w:line="360" w:lineRule="auto"/>
        <w:jc w:val="both"/>
        <w:rPr>
          <w:rFonts w:ascii="Lato" w:hAnsi="Lato" w:cs="Arial"/>
          <w:sz w:val="22"/>
        </w:rPr>
      </w:pPr>
    </w:p>
    <w:p w:rsidR="00632933" w:rsidRDefault="00632933" w:rsidP="008D4FCE">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Pr="008D4FCE" w:rsidRDefault="00806072" w:rsidP="008D4FCE">
      <w:pPr>
        <w:spacing w:line="360" w:lineRule="auto"/>
        <w:jc w:val="both"/>
        <w:rPr>
          <w:rFonts w:ascii="Lato" w:hAnsi="Lato" w:cs="Arial"/>
          <w:sz w:val="22"/>
        </w:rPr>
      </w:pPr>
    </w:p>
    <w:p w:rsidR="00E429D3" w:rsidRDefault="00632933" w:rsidP="00630E08">
      <w:pPr>
        <w:spacing w:line="348" w:lineRule="auto"/>
        <w:jc w:val="both"/>
        <w:rPr>
          <w:rFonts w:ascii="Lato" w:hAnsi="Lato"/>
          <w:b/>
        </w:rPr>
      </w:pPr>
      <w:r w:rsidRPr="00E429D3">
        <w:rPr>
          <w:rFonts w:ascii="Lato" w:hAnsi="Lato"/>
        </w:rPr>
        <w:t xml:space="preserve">Así las cosas y, dada la obligación de demostrar de manera fundada y motivada, que la divulgación de información lesiona un bien jurídico tutelado por tratarse de información concerniente a una persona física o jurídica identificada o identificable y que el daño que puede producirse con su publicidad, es mayor que el interés de conocerla, </w:t>
      </w:r>
      <w:r w:rsidRPr="00E429D3">
        <w:rPr>
          <w:rFonts w:ascii="Lato" w:hAnsi="Lato"/>
          <w:b/>
        </w:rPr>
        <w:t xml:space="preserve">al tratarse de datos personales de carácter confidencial protegidos por la Ley y que no se cuenta con la autorización de los titulares de los mismos, para su entrega o divulgación, </w:t>
      </w:r>
      <w:r w:rsidR="00BB0F67" w:rsidRPr="00E429D3">
        <w:rPr>
          <w:rFonts w:ascii="Lato" w:hAnsi="Lato"/>
          <w:b/>
        </w:rPr>
        <w:t xml:space="preserve">la información de interés del peticionario </w:t>
      </w:r>
      <w:r w:rsidRPr="00E429D3">
        <w:rPr>
          <w:rFonts w:ascii="Lato" w:hAnsi="Lato"/>
          <w:b/>
        </w:rPr>
        <w:t xml:space="preserve">debe clasificarse como confidencial y restringir su acceso. </w:t>
      </w:r>
    </w:p>
    <w:p w:rsidR="00630E08" w:rsidRDefault="00630E08" w:rsidP="00630E08">
      <w:pPr>
        <w:spacing w:line="360" w:lineRule="auto"/>
        <w:jc w:val="both"/>
        <w:rPr>
          <w:rFonts w:ascii="Lato" w:hAnsi="Lato"/>
          <w:b/>
        </w:rPr>
      </w:pPr>
    </w:p>
    <w:p w:rsidR="00632933" w:rsidRDefault="00632933" w:rsidP="00630E08">
      <w:pPr>
        <w:spacing w:line="348" w:lineRule="auto"/>
        <w:jc w:val="both"/>
        <w:rPr>
          <w:rFonts w:ascii="Lato" w:hAnsi="Lato" w:cs="Arial"/>
        </w:rPr>
      </w:pPr>
      <w:r w:rsidRPr="00150C05">
        <w:rPr>
          <w:rFonts w:ascii="Lato" w:hAnsi="Lato"/>
        </w:rPr>
        <w:t>Efectivamente</w:t>
      </w:r>
      <w:r w:rsidRPr="00762A70">
        <w:rPr>
          <w:rFonts w:ascii="Lato" w:hAnsi="Lato" w:cs="Arial"/>
        </w:rPr>
        <w:t>,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w:t>
      </w:r>
      <w:r w:rsidRPr="00762A70">
        <w:rPr>
          <w:rFonts w:ascii="Lato" w:hAnsi="Lato" w:cs="Arial"/>
        </w:rPr>
        <w:lastRenderedPageBreak/>
        <w:t xml:space="preserve">decir </w:t>
      </w:r>
      <w:r w:rsidRPr="00BB0F67">
        <w:rPr>
          <w:rFonts w:ascii="Lato" w:hAnsi="Lato" w:cs="Arial"/>
          <w:b/>
        </w:rPr>
        <w:t>que liberar la información</w:t>
      </w:r>
      <w:r w:rsidRPr="00762A70">
        <w:rPr>
          <w:rFonts w:ascii="Lato" w:hAnsi="Lato" w:cs="Arial"/>
          <w:b/>
        </w:rPr>
        <w:t xml:space="preserve"> </w:t>
      </w:r>
      <w:r w:rsidR="007D1F5E">
        <w:rPr>
          <w:rFonts w:ascii="Lato" w:hAnsi="Lato" w:cs="Arial"/>
          <w:b/>
        </w:rPr>
        <w:t>relacionada a los juicios en los que una persona</w:t>
      </w:r>
      <w:r w:rsidR="005E5142">
        <w:rPr>
          <w:rFonts w:ascii="Lato" w:hAnsi="Lato" w:cs="Arial"/>
          <w:b/>
        </w:rPr>
        <w:t xml:space="preserve"> física </w:t>
      </w:r>
      <w:r w:rsidR="007D1F5E">
        <w:rPr>
          <w:rFonts w:ascii="Lato" w:hAnsi="Lato" w:cs="Arial"/>
          <w:b/>
        </w:rPr>
        <w:t xml:space="preserve"> determinada es parte, identificando el número de expediente</w:t>
      </w:r>
      <w:r w:rsidR="00AB21FB">
        <w:rPr>
          <w:rFonts w:ascii="Lato" w:hAnsi="Lato" w:cs="Arial"/>
          <w:b/>
        </w:rPr>
        <w:t xml:space="preserve"> </w:t>
      </w:r>
      <w:r w:rsidR="005E5142">
        <w:rPr>
          <w:rFonts w:ascii="Lato" w:hAnsi="Lato" w:cs="Arial"/>
          <w:b/>
        </w:rPr>
        <w:t>asignado a su caso y como consecuencia el “</w:t>
      </w:r>
      <w:r w:rsidR="005E5142" w:rsidRPr="005E5142">
        <w:rPr>
          <w:rFonts w:ascii="Lato" w:hAnsi="Lato" w:cs="Arial"/>
          <w:b/>
          <w:i/>
        </w:rPr>
        <w:t>juzgado en que aparezca</w:t>
      </w:r>
      <w:r w:rsidR="005E5142">
        <w:rPr>
          <w:rFonts w:ascii="Lato" w:hAnsi="Lato" w:cs="Arial"/>
          <w:b/>
        </w:rPr>
        <w:t xml:space="preserve">”, </w:t>
      </w:r>
      <w:r w:rsidR="00BB0F67">
        <w:rPr>
          <w:rFonts w:ascii="Lato" w:hAnsi="Lato" w:cs="Arial"/>
          <w:b/>
        </w:rPr>
        <w:t xml:space="preserve">que se lleva a cabo en este Poder Judicial,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particulares</w:t>
      </w:r>
      <w:r w:rsidR="00AB21FB">
        <w:rPr>
          <w:rFonts w:ascii="Lato" w:hAnsi="Lato" w:cs="Arial"/>
          <w:b/>
        </w:rPr>
        <w:t xml:space="preserve"> </w:t>
      </w:r>
      <w:r>
        <w:rPr>
          <w:rFonts w:ascii="Lato" w:hAnsi="Lato" w:cs="Arial"/>
          <w:b/>
        </w:rPr>
        <w:t xml:space="preserve">al </w:t>
      </w:r>
      <w:r w:rsidRPr="00762A70">
        <w:rPr>
          <w:rFonts w:ascii="Lato" w:hAnsi="Lato" w:cs="Arial"/>
          <w:b/>
        </w:rPr>
        <w:t>divulgar</w:t>
      </w:r>
      <w:r>
        <w:rPr>
          <w:rFonts w:ascii="Lato" w:hAnsi="Lato" w:cs="Arial"/>
          <w:b/>
        </w:rPr>
        <w:t xml:space="preserve"> sus datos personales</w:t>
      </w:r>
      <w:r w:rsidRPr="00762A70">
        <w:rPr>
          <w:rFonts w:ascii="Lato" w:hAnsi="Lato" w:cs="Arial"/>
          <w:b/>
        </w:rPr>
        <w:t xml:space="preserve"> </w:t>
      </w:r>
      <w:r w:rsidR="00C855BA">
        <w:rPr>
          <w:rFonts w:ascii="Lato" w:hAnsi="Lato" w:cs="Arial"/>
          <w:b/>
        </w:rPr>
        <w:t xml:space="preserve">de carácter jurídico, </w:t>
      </w:r>
      <w:r w:rsidRPr="00762A70">
        <w:rPr>
          <w:rFonts w:ascii="Lato" w:hAnsi="Lato" w:cs="Arial"/>
          <w:b/>
        </w:rPr>
        <w:t>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w:t>
      </w:r>
      <w:r w:rsidRPr="00C855BA">
        <w:rPr>
          <w:rFonts w:ascii="Lato" w:hAnsi="Lato" w:cs="Arial"/>
          <w:u w:val="single"/>
        </w:rPr>
        <w:t>no se puede suponer ningún interés público de liberarse</w:t>
      </w:r>
      <w:r w:rsidRPr="00762A70">
        <w:rPr>
          <w:rFonts w:ascii="Lato" w:hAnsi="Lato" w:cs="Arial"/>
        </w:rPr>
        <w:t xml:space="preserve">, por lo que la clasificación de confidencialidad debe persistir, pues se reitera, que no se cuenta con el consentimiento </w:t>
      </w:r>
      <w:r>
        <w:rPr>
          <w:rFonts w:ascii="Lato" w:hAnsi="Lato" w:cs="Arial"/>
        </w:rPr>
        <w:t xml:space="preserve">necesario de </w:t>
      </w:r>
      <w:r w:rsidR="00C855BA">
        <w:rPr>
          <w:rFonts w:ascii="Lato" w:hAnsi="Lato" w:cs="Arial"/>
        </w:rPr>
        <w:t>su titular</w:t>
      </w:r>
      <w:r w:rsidRPr="00762A70">
        <w:rPr>
          <w:rFonts w:ascii="Lato" w:hAnsi="Lato" w:cs="Arial"/>
        </w:rPr>
        <w:t xml:space="preserve"> para la liberación de sus datos; </w:t>
      </w:r>
      <w:r w:rsidRPr="00E2128F">
        <w:rPr>
          <w:rFonts w:ascii="Lato" w:hAnsi="Lato" w:cs="Arial"/>
        </w:rPr>
        <w:t xml:space="preserve">III. </w:t>
      </w:r>
      <w:r w:rsidRPr="00C855BA">
        <w:rPr>
          <w:rFonts w:ascii="Lato" w:hAnsi="Lato" w:cs="Arial"/>
          <w:u w:val="single"/>
        </w:rPr>
        <w:t>La limitación se adecúa al principio de proporcionalidad y representa el medio menos restrictivo disponible para evitar el perjuicio</w:t>
      </w:r>
      <w:r w:rsidRPr="00E2128F">
        <w:rPr>
          <w:rFonts w:ascii="Lato" w:hAnsi="Lato" w:cs="Arial"/>
        </w:rPr>
        <w:t>.</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8D4FCE" w:rsidRDefault="008D4FCE" w:rsidP="00630E08">
      <w:pPr>
        <w:spacing w:line="348" w:lineRule="auto"/>
        <w:jc w:val="both"/>
        <w:rPr>
          <w:rFonts w:ascii="Lato" w:hAnsi="Lato" w:cs="Arial"/>
        </w:rPr>
      </w:pPr>
    </w:p>
    <w:p w:rsidR="00C855BA" w:rsidRDefault="00150C05" w:rsidP="00630E08">
      <w:pPr>
        <w:spacing w:line="348" w:lineRule="auto"/>
        <w:jc w:val="both"/>
        <w:rPr>
          <w:rFonts w:ascii="Lato" w:hAnsi="Lato" w:cs="Arial"/>
          <w:b/>
        </w:rPr>
      </w:pPr>
      <w:r>
        <w:rPr>
          <w:rFonts w:ascii="Lato" w:hAnsi="Lato" w:cs="Arial"/>
        </w:rPr>
        <w:t>4</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632933" w:rsidRPr="00762A70">
        <w:rPr>
          <w:rFonts w:ascii="Lato" w:hAnsi="Lato" w:cs="Arial"/>
        </w:rPr>
        <w:t xml:space="preserve"> </w:t>
      </w:r>
      <w:r w:rsidR="00632933">
        <w:rPr>
          <w:rFonts w:ascii="Lato" w:hAnsi="Lato" w:cs="Arial"/>
        </w:rPr>
        <w:t xml:space="preserve">En virtud de </w:t>
      </w:r>
      <w:r w:rsidR="00632933" w:rsidRPr="00762A70">
        <w:rPr>
          <w:rFonts w:ascii="Lato" w:hAnsi="Lato" w:cs="Arial"/>
        </w:rPr>
        <w:t>lo fundado y motivado en los apartados anteriores, los integrantes del Comité,</w:t>
      </w:r>
      <w:r w:rsidR="00632933" w:rsidRPr="00762A70">
        <w:rPr>
          <w:rFonts w:ascii="Lato" w:hAnsi="Lato" w:cs="Arial"/>
          <w:b/>
        </w:rPr>
        <w:t xml:space="preserve"> </w:t>
      </w:r>
      <w:r w:rsidR="00632933" w:rsidRPr="00523438">
        <w:rPr>
          <w:rFonts w:ascii="Lato" w:hAnsi="Lato" w:cs="Arial"/>
        </w:rPr>
        <w:t xml:space="preserve">por unanimidad </w:t>
      </w:r>
      <w:r w:rsidR="00632933" w:rsidRPr="00762A70">
        <w:rPr>
          <w:rFonts w:ascii="Lato" w:hAnsi="Lato" w:cs="Arial"/>
          <w:b/>
        </w:rPr>
        <w:t xml:space="preserve">ACUERDAN: </w:t>
      </w:r>
      <w:r w:rsidR="00632933">
        <w:rPr>
          <w:rFonts w:ascii="Lato" w:hAnsi="Lato" w:cs="Arial"/>
          <w:b/>
        </w:rPr>
        <w:t>A</w:t>
      </w:r>
      <w:r w:rsidR="00632933" w:rsidRPr="00762A70">
        <w:rPr>
          <w:rFonts w:ascii="Lato" w:hAnsi="Lato" w:cs="Arial"/>
          <w:b/>
        </w:rPr>
        <w:t xml:space="preserve">probar la clasificación </w:t>
      </w:r>
      <w:r w:rsidR="00BD1E2A">
        <w:rPr>
          <w:rFonts w:ascii="Lato" w:hAnsi="Lato" w:cs="Arial"/>
          <w:b/>
        </w:rPr>
        <w:t>de</w:t>
      </w:r>
      <w:r w:rsidR="000A790C">
        <w:rPr>
          <w:rFonts w:ascii="Lato" w:hAnsi="Lato" w:cs="Arial"/>
          <w:b/>
        </w:rPr>
        <w:t xml:space="preserve"> confidencialidad de los números de expedientes judiciales de personas físicas determinadas</w:t>
      </w:r>
      <w:r w:rsidR="005E5142">
        <w:rPr>
          <w:rFonts w:ascii="Lato" w:hAnsi="Lato" w:cs="Arial"/>
          <w:b/>
        </w:rPr>
        <w:t xml:space="preserve"> y por ende del órgano jurisdiccional ante el cual están radicados,</w:t>
      </w:r>
      <w:r w:rsidR="00BD1E2A">
        <w:rPr>
          <w:rFonts w:ascii="Lato" w:hAnsi="Lato" w:cs="Arial"/>
          <w:b/>
        </w:rPr>
        <w:t xml:space="preserve"> </w:t>
      </w:r>
      <w:r w:rsidR="00C855BA">
        <w:rPr>
          <w:rFonts w:ascii="Lato" w:hAnsi="Lato" w:cs="Arial"/>
          <w:b/>
        </w:rPr>
        <w:t xml:space="preserve">datos de carácter jurídico de los </w:t>
      </w:r>
      <w:r w:rsidR="00BD1E2A">
        <w:rPr>
          <w:rFonts w:ascii="Lato" w:hAnsi="Lato" w:cs="Arial"/>
          <w:b/>
        </w:rPr>
        <w:t xml:space="preserve">particulares que intervienen </w:t>
      </w:r>
      <w:r w:rsidR="00E2128F">
        <w:rPr>
          <w:rFonts w:ascii="Lato" w:hAnsi="Lato" w:cs="Arial"/>
          <w:b/>
        </w:rPr>
        <w:t xml:space="preserve">en </w:t>
      </w:r>
      <w:r w:rsidR="00BD1E2A">
        <w:rPr>
          <w:rFonts w:ascii="Lato" w:hAnsi="Lato" w:cs="Arial"/>
          <w:b/>
        </w:rPr>
        <w:t>proce</w:t>
      </w:r>
      <w:r w:rsidR="00C855BA">
        <w:rPr>
          <w:rFonts w:ascii="Lato" w:hAnsi="Lato" w:cs="Arial"/>
          <w:b/>
        </w:rPr>
        <w:t>sos y proce</w:t>
      </w:r>
      <w:r w:rsidR="00BD1E2A">
        <w:rPr>
          <w:rFonts w:ascii="Lato" w:hAnsi="Lato" w:cs="Arial"/>
          <w:b/>
        </w:rPr>
        <w:t>dimientos judiciales</w:t>
      </w:r>
      <w:r w:rsidR="00C855BA">
        <w:rPr>
          <w:rFonts w:ascii="Lato" w:hAnsi="Lato" w:cs="Arial"/>
          <w:b/>
        </w:rPr>
        <w:t>.</w:t>
      </w:r>
    </w:p>
    <w:p w:rsidR="00630E08" w:rsidRDefault="00630E08" w:rsidP="00630E08">
      <w:pPr>
        <w:spacing w:line="348" w:lineRule="auto"/>
        <w:jc w:val="both"/>
        <w:rPr>
          <w:rFonts w:ascii="Lato" w:hAnsi="Lato" w:cs="Arial"/>
          <w:b/>
        </w:rPr>
      </w:pPr>
    </w:p>
    <w:p w:rsidR="00632933" w:rsidRPr="00751F1E" w:rsidRDefault="00632933" w:rsidP="000E1217">
      <w:pPr>
        <w:spacing w:line="336" w:lineRule="auto"/>
        <w:jc w:val="both"/>
        <w:rPr>
          <w:rFonts w:ascii="Lato" w:hAnsi="Lato" w:cs="Arial"/>
          <w:color w:val="C00000"/>
        </w:rPr>
      </w:pPr>
      <w:r w:rsidRPr="00BE1786">
        <w:rPr>
          <w:rFonts w:ascii="Lato" w:hAnsi="Lato" w:cs="Arial"/>
          <w:b/>
        </w:rPr>
        <w:t>Notifíquese</w:t>
      </w:r>
      <w:r w:rsidRPr="00762A70">
        <w:rPr>
          <w:rFonts w:ascii="Lato" w:hAnsi="Lato" w:cs="Arial"/>
        </w:rPr>
        <w:t xml:space="preserve"> y </w:t>
      </w:r>
      <w:r w:rsidRPr="008D4FCE">
        <w:rPr>
          <w:rFonts w:ascii="Lato" w:hAnsi="Lato" w:cs="Arial"/>
        </w:rPr>
        <w:t xml:space="preserve">entréguese copia de </w:t>
      </w:r>
      <w:r w:rsidR="00150C05" w:rsidRPr="008D4FCE">
        <w:rPr>
          <w:rFonts w:ascii="Lato" w:hAnsi="Lato" w:cs="Arial"/>
        </w:rPr>
        <w:t xml:space="preserve">esta acta </w:t>
      </w:r>
      <w:r w:rsidR="00000FED" w:rsidRPr="008D4FCE">
        <w:rPr>
          <w:rFonts w:ascii="Lato" w:hAnsi="Lato" w:cs="Arial"/>
        </w:rPr>
        <w:t>al peticionario</w:t>
      </w:r>
      <w:r w:rsidR="00000FED">
        <w:rPr>
          <w:rFonts w:ascii="Lato" w:hAnsi="Lato" w:cs="Arial"/>
        </w:rPr>
        <w:t xml:space="preserve"> </w:t>
      </w:r>
      <w:r w:rsidRPr="00762A70">
        <w:rPr>
          <w:rFonts w:ascii="Lato" w:hAnsi="Lato" w:cs="Arial"/>
        </w:rPr>
        <w:t>por conduct</w:t>
      </w:r>
      <w:r w:rsidR="00BD1E2A">
        <w:rPr>
          <w:rFonts w:ascii="Lato" w:hAnsi="Lato" w:cs="Arial"/>
        </w:rPr>
        <w:t>o de la Unidad de Transparencia</w:t>
      </w:r>
      <w:r w:rsidR="00CB60B8">
        <w:rPr>
          <w:rFonts w:ascii="Lato" w:hAnsi="Lato" w:cs="Arial"/>
        </w:rPr>
        <w:t>.</w:t>
      </w:r>
      <w:r w:rsidR="00000FED">
        <w:rPr>
          <w:rFonts w:ascii="Lato" w:hAnsi="Lato" w:cs="Arial"/>
        </w:rPr>
        <w:t xml:space="preserve"> Estando presente la Titular de la Unidad de Transparencia, se da por notificada de esta resolución.</w:t>
      </w:r>
      <w:r w:rsidRPr="00751F1E">
        <w:rPr>
          <w:rFonts w:ascii="Lato" w:hAnsi="Lato" w:cs="Arial"/>
          <w:b/>
          <w:color w:val="C00000"/>
        </w:rPr>
        <w:t xml:space="preserve"> </w:t>
      </w:r>
    </w:p>
    <w:p w:rsidR="0083308F" w:rsidRPr="007A2FA2" w:rsidRDefault="0083308F" w:rsidP="000E1217">
      <w:pPr>
        <w:spacing w:line="336"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w:t>
      </w:r>
      <w:r w:rsidR="00125A42">
        <w:rPr>
          <w:rFonts w:ascii="Lato" w:hAnsi="Lato" w:cs="Arial"/>
        </w:rPr>
        <w:t>ras con treinta minutos del día dieciocho de abril de 2022</w:t>
      </w:r>
      <w:r w:rsidRPr="007A2FA2">
        <w:rPr>
          <w:rFonts w:ascii="Lato" w:hAnsi="Lato" w:cs="Arial"/>
        </w:rPr>
        <w:t>.</w:t>
      </w: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630E08" w:rsidRDefault="00630E08"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83308F" w:rsidP="0083308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E1217" w:rsidRDefault="000E1217" w:rsidP="000E1217">
      <w:pPr>
        <w:jc w:val="center"/>
        <w:rPr>
          <w:rFonts w:ascii="Lato" w:hAnsi="Lato" w:cs="Arial"/>
          <w:bCs/>
        </w:rPr>
      </w:pPr>
    </w:p>
    <w:p w:rsidR="000E1217" w:rsidRDefault="000E1217" w:rsidP="000E1217">
      <w:pPr>
        <w:jc w:val="center"/>
        <w:rPr>
          <w:rFonts w:ascii="Lato" w:hAnsi="Lato" w:cs="Arial"/>
          <w:bCs/>
        </w:rPr>
      </w:pPr>
    </w:p>
    <w:p w:rsidR="000E1217" w:rsidRDefault="000E1217" w:rsidP="000E1217">
      <w:pPr>
        <w:jc w:val="center"/>
        <w:rPr>
          <w:rFonts w:ascii="Lato" w:hAnsi="Lato" w:cs="Arial"/>
          <w:bCs/>
        </w:rPr>
      </w:pPr>
    </w:p>
    <w:p w:rsidR="00630E08" w:rsidRDefault="00630E08" w:rsidP="000E1217">
      <w:pPr>
        <w:jc w:val="center"/>
        <w:rPr>
          <w:rFonts w:ascii="Lato" w:hAnsi="Lato" w:cs="Arial"/>
          <w:bCs/>
        </w:rPr>
      </w:pPr>
    </w:p>
    <w:p w:rsidR="000E1217" w:rsidRDefault="000E1217" w:rsidP="000E1217">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0E1217" w:rsidRDefault="000E1217" w:rsidP="000E1217">
      <w:pPr>
        <w:jc w:val="center"/>
        <w:rPr>
          <w:rFonts w:ascii="Lato" w:hAnsi="Lato" w:cs="Arial"/>
          <w:bCs/>
        </w:rPr>
      </w:pPr>
    </w:p>
    <w:p w:rsidR="000E1217" w:rsidRDefault="000E1217" w:rsidP="000E1217">
      <w:pPr>
        <w:jc w:val="center"/>
        <w:rPr>
          <w:rFonts w:ascii="Lato" w:hAnsi="Lato" w:cs="Arial"/>
          <w:bCs/>
        </w:rPr>
      </w:pPr>
    </w:p>
    <w:p w:rsidR="000E1217" w:rsidRDefault="000E1217" w:rsidP="000E1217">
      <w:pPr>
        <w:jc w:val="center"/>
        <w:rPr>
          <w:rFonts w:ascii="Lato" w:hAnsi="Lato" w:cs="Arial"/>
          <w:bCs/>
        </w:rPr>
      </w:pPr>
    </w:p>
    <w:p w:rsidR="00630E08" w:rsidRDefault="00630E08" w:rsidP="000E1217">
      <w:pPr>
        <w:jc w:val="center"/>
        <w:rPr>
          <w:rFonts w:ascii="Lato" w:hAnsi="Lato" w:cs="Arial"/>
          <w:bCs/>
        </w:rPr>
      </w:pPr>
    </w:p>
    <w:p w:rsidR="000E1217" w:rsidRDefault="000E1217" w:rsidP="000E1217">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E1217" w:rsidRDefault="000E1217" w:rsidP="000E1217">
      <w:pPr>
        <w:jc w:val="center"/>
        <w:rPr>
          <w:rFonts w:ascii="Lato" w:hAnsi="Lato" w:cs="Arial"/>
          <w:bCs/>
        </w:rPr>
      </w:pPr>
    </w:p>
    <w:p w:rsidR="000E1217" w:rsidRDefault="000E1217" w:rsidP="000E1217">
      <w:pPr>
        <w:jc w:val="center"/>
        <w:rPr>
          <w:rFonts w:ascii="Lato" w:hAnsi="Lato" w:cs="Arial"/>
          <w:bCs/>
        </w:rPr>
      </w:pPr>
    </w:p>
    <w:p w:rsidR="000E1217" w:rsidRDefault="000E1217" w:rsidP="000E1217">
      <w:pPr>
        <w:jc w:val="center"/>
        <w:rPr>
          <w:rFonts w:ascii="Lato" w:hAnsi="Lato" w:cs="Arial"/>
          <w:bCs/>
        </w:rPr>
      </w:pPr>
    </w:p>
    <w:p w:rsidR="00630E08" w:rsidRDefault="00630E08" w:rsidP="000E1217">
      <w:pPr>
        <w:jc w:val="center"/>
        <w:rPr>
          <w:rFonts w:ascii="Lato" w:hAnsi="Lato" w:cs="Arial"/>
          <w:bCs/>
        </w:rPr>
      </w:pPr>
    </w:p>
    <w:p w:rsidR="000E1217" w:rsidRDefault="000E1217" w:rsidP="000E1217">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0E1217" w:rsidRPr="000E1217" w:rsidRDefault="000E1217" w:rsidP="000E1217">
      <w:pPr>
        <w:jc w:val="center"/>
        <w:rPr>
          <w:rFonts w:ascii="Lato" w:hAnsi="Lato" w:cs="Arial"/>
          <w:bCs/>
          <w:sz w:val="22"/>
        </w:rPr>
      </w:pPr>
    </w:p>
    <w:p w:rsidR="000E1217" w:rsidRPr="000E1217" w:rsidRDefault="000E1217" w:rsidP="000E1217">
      <w:pPr>
        <w:jc w:val="center"/>
        <w:rPr>
          <w:rFonts w:ascii="Lato" w:hAnsi="Lato" w:cs="Arial"/>
          <w:bCs/>
          <w:sz w:val="22"/>
        </w:rPr>
      </w:pPr>
    </w:p>
    <w:p w:rsidR="000E1217" w:rsidRDefault="000E1217" w:rsidP="000E1217">
      <w:pPr>
        <w:jc w:val="center"/>
        <w:rPr>
          <w:rFonts w:ascii="Lato" w:hAnsi="Lato" w:cs="Arial"/>
          <w:bCs/>
          <w:sz w:val="22"/>
        </w:rPr>
      </w:pPr>
    </w:p>
    <w:p w:rsidR="000E1217" w:rsidRPr="000E1217" w:rsidRDefault="000E1217" w:rsidP="000E1217">
      <w:pPr>
        <w:jc w:val="center"/>
        <w:rPr>
          <w:rFonts w:ascii="Lato" w:hAnsi="Lato" w:cs="Arial"/>
          <w:bCs/>
          <w:sz w:val="22"/>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0E1217" w:rsidP="0083308F">
      <w:pPr>
        <w:jc w:val="center"/>
        <w:rPr>
          <w:rFonts w:ascii="Lato" w:hAnsi="Lato" w:cs="Arial"/>
          <w:bCs/>
        </w:rPr>
      </w:pPr>
      <w:r>
        <w:rPr>
          <w:rFonts w:ascii="Lato" w:hAnsi="Lato" w:cs="Arial"/>
          <w:bCs/>
        </w:rPr>
        <w:t>Director</w:t>
      </w:r>
      <w:r w:rsidR="0083308F">
        <w:rPr>
          <w:rFonts w:ascii="Lato" w:hAnsi="Lato" w:cs="Arial"/>
          <w:bCs/>
        </w:rPr>
        <w:t xml:space="preserve"> </w:t>
      </w:r>
      <w:r w:rsidR="0083308F" w:rsidRPr="007A2FA2">
        <w:rPr>
          <w:rFonts w:ascii="Lato" w:hAnsi="Lato" w:cs="Arial"/>
          <w:bCs/>
        </w:rPr>
        <w:t xml:space="preserve">de la Unidad Jurídica y Asesoría Interna </w:t>
      </w:r>
    </w:p>
    <w:p w:rsidR="008D4FCE" w:rsidRDefault="008D4FCE" w:rsidP="008D4FCE">
      <w:pPr>
        <w:jc w:val="center"/>
        <w:rPr>
          <w:rFonts w:ascii="Lato" w:hAnsi="Lato" w:cs="Arial"/>
          <w:bCs/>
        </w:rPr>
      </w:pPr>
    </w:p>
    <w:p w:rsidR="00630E08" w:rsidRDefault="00630E08" w:rsidP="008D4FCE">
      <w:pPr>
        <w:jc w:val="center"/>
        <w:rPr>
          <w:rFonts w:ascii="Lato" w:hAnsi="Lato" w:cs="Arial"/>
          <w:bCs/>
        </w:rPr>
      </w:pPr>
      <w:bookmarkStart w:id="0" w:name="_GoBack"/>
      <w:bookmarkEnd w:id="0"/>
    </w:p>
    <w:p w:rsidR="008D4FCE" w:rsidRDefault="008D4FCE" w:rsidP="008D4FCE">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1160CC" w:rsidRDefault="0083308F" w:rsidP="001160CC">
      <w:pPr>
        <w:jc w:val="center"/>
        <w:rPr>
          <w:rFonts w:ascii="Lato" w:hAnsi="Lato"/>
          <w:sz w:val="20"/>
          <w:szCs w:val="20"/>
        </w:rPr>
      </w:pPr>
      <w:r w:rsidRPr="007A2FA2">
        <w:rPr>
          <w:rFonts w:ascii="Lato" w:hAnsi="Lato" w:cs="Arial"/>
          <w:bCs/>
        </w:rPr>
        <w:t>Secretaria Técnica del Comité</w:t>
      </w: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1160CC" w:rsidSect="00DA524A">
      <w:headerReference w:type="default" r:id="rId10"/>
      <w:footerReference w:type="default" r:id="rId11"/>
      <w:headerReference w:type="first" r:id="rId12"/>
      <w:footerReference w:type="first" r:id="rId13"/>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F9" w:rsidRDefault="001134F9" w:rsidP="00CC10D2">
      <w:r>
        <w:separator/>
      </w:r>
    </w:p>
  </w:endnote>
  <w:endnote w:type="continuationSeparator" w:id="0">
    <w:p w:rsidR="001134F9" w:rsidRDefault="001134F9"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125A42">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C31C9E">
            <w:rPr>
              <w:rFonts w:ascii="Lato" w:hAnsi="Lato" w:cs="Arial"/>
            </w:rPr>
            <w:t>CT/SE/</w:t>
          </w:r>
          <w:r w:rsidR="00125A42">
            <w:rPr>
              <w:rFonts w:ascii="Lato" w:hAnsi="Lato" w:cs="Arial"/>
            </w:rPr>
            <w:t>22</w:t>
          </w:r>
          <w:r w:rsidRPr="00DA524A">
            <w:rPr>
              <w:rFonts w:ascii="Lato" w:hAnsi="Lato" w:cs="Arial"/>
            </w:rPr>
            <w:t>/</w:t>
          </w:r>
          <w:r w:rsidR="00E72E24">
            <w:rPr>
              <w:rFonts w:ascii="Lato" w:hAnsi="Lato" w:cs="Arial"/>
            </w:rPr>
            <w:t>20</w:t>
          </w:r>
          <w:r w:rsidR="00125A42">
            <w:rPr>
              <w:rFonts w:ascii="Lato" w:hAnsi="Lato" w:cs="Arial"/>
            </w:rPr>
            <w:t>22</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C40B0C">
            <w:rPr>
              <w:rFonts w:ascii="Lato" w:hAnsi="Lato" w:cs="Arial"/>
              <w:noProof/>
            </w:rPr>
            <w:t>11</w:t>
          </w:r>
          <w:r w:rsidR="00596D40" w:rsidRPr="00DA524A">
            <w:rPr>
              <w:rFonts w:ascii="Lato" w:hAnsi="Lato" w:cs="Arial"/>
            </w:rPr>
            <w:fldChar w:fldCharType="end"/>
          </w:r>
          <w:r w:rsidRPr="00DA524A">
            <w:rPr>
              <w:rFonts w:ascii="Lato" w:hAnsi="Lato" w:cs="Arial"/>
            </w:rPr>
            <w:t xml:space="preserve"> de </w:t>
          </w:r>
          <w:r w:rsidR="001134F9">
            <w:fldChar w:fldCharType="begin"/>
          </w:r>
          <w:r w:rsidR="001134F9">
            <w:instrText xml:space="preserve"> NUMPAGES   \* MERGEFORMAT </w:instrText>
          </w:r>
          <w:r w:rsidR="001134F9">
            <w:fldChar w:fldCharType="separate"/>
          </w:r>
          <w:r w:rsidR="00C40B0C" w:rsidRPr="00C40B0C">
            <w:rPr>
              <w:rFonts w:ascii="Lato" w:hAnsi="Lato" w:cs="Arial"/>
              <w:noProof/>
            </w:rPr>
            <w:t>12</w:t>
          </w:r>
          <w:r w:rsidR="001134F9">
            <w:rPr>
              <w:rFonts w:ascii="Lato" w:hAnsi="Lato" w:cs="Arial"/>
              <w:noProof/>
            </w:rPr>
            <w:fldChar w:fldCharType="end"/>
          </w:r>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CD244E" w:rsidRPr="00DA524A" w:rsidTr="00CB5D95">
      <w:trPr>
        <w:trHeight w:val="422"/>
        <w:jc w:val="center"/>
      </w:trPr>
      <w:tc>
        <w:tcPr>
          <w:tcW w:w="7300" w:type="dxa"/>
          <w:vAlign w:val="center"/>
        </w:tcPr>
        <w:p w:rsidR="00CD244E" w:rsidRPr="00DA524A" w:rsidRDefault="00CD244E" w:rsidP="00125A42">
          <w:pPr>
            <w:pStyle w:val="Piedepgina"/>
            <w:rPr>
              <w:rFonts w:ascii="Lato" w:hAnsi="Lato" w:cs="Arial"/>
            </w:rPr>
          </w:pPr>
          <w:r w:rsidRPr="00DA524A">
            <w:rPr>
              <w:rFonts w:ascii="Lato" w:hAnsi="Lato" w:cs="Arial"/>
            </w:rPr>
            <w:t>Acta relati</w:t>
          </w:r>
          <w:r>
            <w:rPr>
              <w:rFonts w:ascii="Lato" w:hAnsi="Lato" w:cs="Arial"/>
            </w:rPr>
            <w:t xml:space="preserve">va a </w:t>
          </w:r>
          <w:r w:rsidR="00E5504B">
            <w:rPr>
              <w:rFonts w:ascii="Lato" w:hAnsi="Lato" w:cs="Arial"/>
            </w:rPr>
            <w:t>la Sesión Extraordinaria CT/SE/</w:t>
          </w:r>
          <w:r w:rsidR="00125A42">
            <w:rPr>
              <w:rFonts w:ascii="Lato" w:hAnsi="Lato" w:cs="Arial"/>
            </w:rPr>
            <w:t>22</w:t>
          </w:r>
          <w:r w:rsidRPr="00DA524A">
            <w:rPr>
              <w:rFonts w:ascii="Lato" w:hAnsi="Lato" w:cs="Arial"/>
            </w:rPr>
            <w:t>/</w:t>
          </w:r>
          <w:r>
            <w:rPr>
              <w:rFonts w:ascii="Lato" w:hAnsi="Lato" w:cs="Arial"/>
            </w:rPr>
            <w:t>202</w:t>
          </w:r>
          <w:r w:rsidR="00125A42">
            <w:rPr>
              <w:rFonts w:ascii="Lato" w:hAnsi="Lato" w:cs="Arial"/>
            </w:rPr>
            <w:t>2</w:t>
          </w:r>
          <w:r w:rsidRPr="00DA524A">
            <w:rPr>
              <w:rFonts w:ascii="Lato" w:hAnsi="Lato" w:cs="Arial"/>
              <w:b/>
            </w:rPr>
            <w:t xml:space="preserve"> </w:t>
          </w:r>
        </w:p>
      </w:tc>
      <w:tc>
        <w:tcPr>
          <w:tcW w:w="1678" w:type="dxa"/>
          <w:vAlign w:val="center"/>
        </w:tcPr>
        <w:p w:rsidR="00CD244E" w:rsidRPr="00DA524A" w:rsidRDefault="00CD244E" w:rsidP="00CB5D95">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C40B0C">
            <w:rPr>
              <w:rFonts w:ascii="Lato" w:hAnsi="Lato" w:cs="Arial"/>
              <w:noProof/>
            </w:rPr>
            <w:t>1</w:t>
          </w:r>
          <w:r w:rsidRPr="00DA524A">
            <w:rPr>
              <w:rFonts w:ascii="Lato" w:hAnsi="Lato" w:cs="Arial"/>
            </w:rPr>
            <w:fldChar w:fldCharType="end"/>
          </w:r>
          <w:r w:rsidRPr="00DA524A">
            <w:rPr>
              <w:rFonts w:ascii="Lato" w:hAnsi="Lato" w:cs="Arial"/>
            </w:rPr>
            <w:t xml:space="preserve"> de </w:t>
          </w:r>
          <w:r w:rsidR="001134F9">
            <w:fldChar w:fldCharType="begin"/>
          </w:r>
          <w:r w:rsidR="001134F9">
            <w:instrText xml:space="preserve"> NUMPAGES   \* MERGEFORMAT </w:instrText>
          </w:r>
          <w:r w:rsidR="001134F9">
            <w:fldChar w:fldCharType="separate"/>
          </w:r>
          <w:r w:rsidR="00C40B0C" w:rsidRPr="00C40B0C">
            <w:rPr>
              <w:rFonts w:ascii="Lato" w:hAnsi="Lato" w:cs="Arial"/>
              <w:noProof/>
            </w:rPr>
            <w:t>12</w:t>
          </w:r>
          <w:r w:rsidR="001134F9">
            <w:rPr>
              <w:rFonts w:ascii="Lato" w:hAnsi="Lato" w:cs="Arial"/>
              <w:noProof/>
            </w:rPr>
            <w:fldChar w:fldCharType="end"/>
          </w:r>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F9" w:rsidRDefault="001134F9" w:rsidP="00CC10D2">
      <w:r>
        <w:separator/>
      </w:r>
    </w:p>
  </w:footnote>
  <w:footnote w:type="continuationSeparator" w:id="0">
    <w:p w:rsidR="001134F9" w:rsidRDefault="001134F9"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14:anchorId="58BEFD39" wp14:editId="32055531">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4406"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6"/>
  </w:num>
  <w:num w:numId="3">
    <w:abstractNumId w:val="15"/>
  </w:num>
  <w:num w:numId="4">
    <w:abstractNumId w:val="4"/>
  </w:num>
  <w:num w:numId="5">
    <w:abstractNumId w:val="2"/>
  </w:num>
  <w:num w:numId="6">
    <w:abstractNumId w:val="12"/>
  </w:num>
  <w:num w:numId="7">
    <w:abstractNumId w:val="11"/>
  </w:num>
  <w:num w:numId="8">
    <w:abstractNumId w:val="7"/>
  </w:num>
  <w:num w:numId="9">
    <w:abstractNumId w:val="9"/>
  </w:num>
  <w:num w:numId="10">
    <w:abstractNumId w:val="8"/>
  </w:num>
  <w:num w:numId="11">
    <w:abstractNumId w:val="1"/>
  </w:num>
  <w:num w:numId="12">
    <w:abstractNumId w:val="0"/>
  </w:num>
  <w:num w:numId="13">
    <w:abstractNumId w:val="5"/>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0FED"/>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A790C"/>
    <w:rsid w:val="000B1866"/>
    <w:rsid w:val="000B1C77"/>
    <w:rsid w:val="000B1D05"/>
    <w:rsid w:val="000B2047"/>
    <w:rsid w:val="000B59D9"/>
    <w:rsid w:val="000B6918"/>
    <w:rsid w:val="000C229A"/>
    <w:rsid w:val="000C4D0E"/>
    <w:rsid w:val="000C5B30"/>
    <w:rsid w:val="000C6F93"/>
    <w:rsid w:val="000D4426"/>
    <w:rsid w:val="000D61D0"/>
    <w:rsid w:val="000D6DBF"/>
    <w:rsid w:val="000E1217"/>
    <w:rsid w:val="000E5BC3"/>
    <w:rsid w:val="000E658E"/>
    <w:rsid w:val="000E6C79"/>
    <w:rsid w:val="000F3117"/>
    <w:rsid w:val="000F58C6"/>
    <w:rsid w:val="00106E9F"/>
    <w:rsid w:val="001134F9"/>
    <w:rsid w:val="00114F2B"/>
    <w:rsid w:val="001160CC"/>
    <w:rsid w:val="001229AA"/>
    <w:rsid w:val="001238C8"/>
    <w:rsid w:val="001250C6"/>
    <w:rsid w:val="00125A42"/>
    <w:rsid w:val="0012762E"/>
    <w:rsid w:val="001325E3"/>
    <w:rsid w:val="001330D8"/>
    <w:rsid w:val="00133AE3"/>
    <w:rsid w:val="001348B2"/>
    <w:rsid w:val="00135F8E"/>
    <w:rsid w:val="00136CED"/>
    <w:rsid w:val="00143471"/>
    <w:rsid w:val="00143D1D"/>
    <w:rsid w:val="00150C05"/>
    <w:rsid w:val="0015302D"/>
    <w:rsid w:val="00157F6C"/>
    <w:rsid w:val="001611BC"/>
    <w:rsid w:val="001675E3"/>
    <w:rsid w:val="00170C45"/>
    <w:rsid w:val="0017599C"/>
    <w:rsid w:val="00175C57"/>
    <w:rsid w:val="0017743B"/>
    <w:rsid w:val="001A16A1"/>
    <w:rsid w:val="001C21B1"/>
    <w:rsid w:val="001C5269"/>
    <w:rsid w:val="001C6E71"/>
    <w:rsid w:val="001D04F4"/>
    <w:rsid w:val="001D0CE6"/>
    <w:rsid w:val="001D1513"/>
    <w:rsid w:val="001D4159"/>
    <w:rsid w:val="001E0A87"/>
    <w:rsid w:val="001E1D0F"/>
    <w:rsid w:val="001E46D1"/>
    <w:rsid w:val="001E59A6"/>
    <w:rsid w:val="001E6750"/>
    <w:rsid w:val="001E7911"/>
    <w:rsid w:val="001E7AE5"/>
    <w:rsid w:val="001F0150"/>
    <w:rsid w:val="001F2757"/>
    <w:rsid w:val="00207BB8"/>
    <w:rsid w:val="0021359F"/>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4904"/>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5D78"/>
    <w:rsid w:val="00387157"/>
    <w:rsid w:val="00397E4C"/>
    <w:rsid w:val="003A4032"/>
    <w:rsid w:val="003A6885"/>
    <w:rsid w:val="003A6FC5"/>
    <w:rsid w:val="003A7045"/>
    <w:rsid w:val="003A7596"/>
    <w:rsid w:val="003B15E0"/>
    <w:rsid w:val="003B2854"/>
    <w:rsid w:val="003B3E20"/>
    <w:rsid w:val="003B72C7"/>
    <w:rsid w:val="003C30F1"/>
    <w:rsid w:val="003D0EF4"/>
    <w:rsid w:val="003D2FEF"/>
    <w:rsid w:val="003D4B99"/>
    <w:rsid w:val="003D4BE3"/>
    <w:rsid w:val="003D4CBA"/>
    <w:rsid w:val="003D7358"/>
    <w:rsid w:val="003E1909"/>
    <w:rsid w:val="003E2294"/>
    <w:rsid w:val="003E49B9"/>
    <w:rsid w:val="003E7F05"/>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586A"/>
    <w:rsid w:val="00467770"/>
    <w:rsid w:val="00472CC9"/>
    <w:rsid w:val="00473905"/>
    <w:rsid w:val="00474D4D"/>
    <w:rsid w:val="00482D27"/>
    <w:rsid w:val="00483F8F"/>
    <w:rsid w:val="00490810"/>
    <w:rsid w:val="004913AC"/>
    <w:rsid w:val="004A2A3A"/>
    <w:rsid w:val="004B0D0D"/>
    <w:rsid w:val="004B13EF"/>
    <w:rsid w:val="004B47A1"/>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79B"/>
    <w:rsid w:val="00560791"/>
    <w:rsid w:val="00560BEC"/>
    <w:rsid w:val="00560D67"/>
    <w:rsid w:val="00567F8A"/>
    <w:rsid w:val="005715E4"/>
    <w:rsid w:val="00577A2D"/>
    <w:rsid w:val="0059394F"/>
    <w:rsid w:val="00596D40"/>
    <w:rsid w:val="005A4870"/>
    <w:rsid w:val="005B373C"/>
    <w:rsid w:val="005B4741"/>
    <w:rsid w:val="005B5910"/>
    <w:rsid w:val="005C3AE4"/>
    <w:rsid w:val="005C5884"/>
    <w:rsid w:val="005C5C55"/>
    <w:rsid w:val="005D1DF6"/>
    <w:rsid w:val="005E5142"/>
    <w:rsid w:val="005E63D4"/>
    <w:rsid w:val="005F13EF"/>
    <w:rsid w:val="00601175"/>
    <w:rsid w:val="006023D3"/>
    <w:rsid w:val="0060496B"/>
    <w:rsid w:val="00607CC2"/>
    <w:rsid w:val="006208CB"/>
    <w:rsid w:val="00620E2D"/>
    <w:rsid w:val="00630E08"/>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A3723"/>
    <w:rsid w:val="006A743F"/>
    <w:rsid w:val="006B408F"/>
    <w:rsid w:val="006C2D6D"/>
    <w:rsid w:val="006C37C6"/>
    <w:rsid w:val="006C41DA"/>
    <w:rsid w:val="006D1663"/>
    <w:rsid w:val="006D3AA3"/>
    <w:rsid w:val="006E19BA"/>
    <w:rsid w:val="006E3F07"/>
    <w:rsid w:val="006F5316"/>
    <w:rsid w:val="006F5BFC"/>
    <w:rsid w:val="006F67F4"/>
    <w:rsid w:val="006F6DD3"/>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1A3"/>
    <w:rsid w:val="0080176D"/>
    <w:rsid w:val="00803B71"/>
    <w:rsid w:val="00806072"/>
    <w:rsid w:val="00806B7E"/>
    <w:rsid w:val="00806BA2"/>
    <w:rsid w:val="00807264"/>
    <w:rsid w:val="00810D04"/>
    <w:rsid w:val="008201EC"/>
    <w:rsid w:val="00822F3C"/>
    <w:rsid w:val="00823A67"/>
    <w:rsid w:val="00824E24"/>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49E9"/>
    <w:rsid w:val="008871A5"/>
    <w:rsid w:val="00890668"/>
    <w:rsid w:val="0089138E"/>
    <w:rsid w:val="00894996"/>
    <w:rsid w:val="008A04DF"/>
    <w:rsid w:val="008A1794"/>
    <w:rsid w:val="008B0FCA"/>
    <w:rsid w:val="008B19C4"/>
    <w:rsid w:val="008B4042"/>
    <w:rsid w:val="008C26EB"/>
    <w:rsid w:val="008C2B10"/>
    <w:rsid w:val="008C3061"/>
    <w:rsid w:val="008C7926"/>
    <w:rsid w:val="008D4FCE"/>
    <w:rsid w:val="008E637B"/>
    <w:rsid w:val="008F3A11"/>
    <w:rsid w:val="008F71CC"/>
    <w:rsid w:val="00912682"/>
    <w:rsid w:val="00920EF1"/>
    <w:rsid w:val="00921078"/>
    <w:rsid w:val="009236BE"/>
    <w:rsid w:val="00934328"/>
    <w:rsid w:val="00936FAA"/>
    <w:rsid w:val="00942AD6"/>
    <w:rsid w:val="009479EB"/>
    <w:rsid w:val="00951EBE"/>
    <w:rsid w:val="00955451"/>
    <w:rsid w:val="00963AE9"/>
    <w:rsid w:val="009667D9"/>
    <w:rsid w:val="00976A08"/>
    <w:rsid w:val="009775EC"/>
    <w:rsid w:val="009A0ABC"/>
    <w:rsid w:val="009A22FC"/>
    <w:rsid w:val="009A3124"/>
    <w:rsid w:val="009C0F5A"/>
    <w:rsid w:val="009D065E"/>
    <w:rsid w:val="009D19C0"/>
    <w:rsid w:val="009D285C"/>
    <w:rsid w:val="009D5743"/>
    <w:rsid w:val="009D6A30"/>
    <w:rsid w:val="009E2971"/>
    <w:rsid w:val="009E40BD"/>
    <w:rsid w:val="009E40C1"/>
    <w:rsid w:val="009E4EF3"/>
    <w:rsid w:val="009E7396"/>
    <w:rsid w:val="009F37D3"/>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88B"/>
    <w:rsid w:val="00A629F1"/>
    <w:rsid w:val="00A63C51"/>
    <w:rsid w:val="00A73208"/>
    <w:rsid w:val="00A756ED"/>
    <w:rsid w:val="00A87619"/>
    <w:rsid w:val="00A91E46"/>
    <w:rsid w:val="00A9206D"/>
    <w:rsid w:val="00AA4B00"/>
    <w:rsid w:val="00AA55DC"/>
    <w:rsid w:val="00AA5D1C"/>
    <w:rsid w:val="00AB0530"/>
    <w:rsid w:val="00AB21FB"/>
    <w:rsid w:val="00AB6672"/>
    <w:rsid w:val="00AB79DC"/>
    <w:rsid w:val="00AC58A0"/>
    <w:rsid w:val="00AC7869"/>
    <w:rsid w:val="00AD4543"/>
    <w:rsid w:val="00AD6611"/>
    <w:rsid w:val="00AE104C"/>
    <w:rsid w:val="00AE4009"/>
    <w:rsid w:val="00AF227B"/>
    <w:rsid w:val="00AF3105"/>
    <w:rsid w:val="00AF4428"/>
    <w:rsid w:val="00AF7296"/>
    <w:rsid w:val="00B04413"/>
    <w:rsid w:val="00B0476F"/>
    <w:rsid w:val="00B07A6A"/>
    <w:rsid w:val="00B1314C"/>
    <w:rsid w:val="00B30521"/>
    <w:rsid w:val="00B32751"/>
    <w:rsid w:val="00B32A28"/>
    <w:rsid w:val="00B43541"/>
    <w:rsid w:val="00B44464"/>
    <w:rsid w:val="00B47210"/>
    <w:rsid w:val="00B47215"/>
    <w:rsid w:val="00B473B3"/>
    <w:rsid w:val="00B50AB7"/>
    <w:rsid w:val="00B63DC7"/>
    <w:rsid w:val="00B71665"/>
    <w:rsid w:val="00B7250E"/>
    <w:rsid w:val="00B730B2"/>
    <w:rsid w:val="00B73404"/>
    <w:rsid w:val="00B75A5E"/>
    <w:rsid w:val="00B853EE"/>
    <w:rsid w:val="00B92897"/>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1815"/>
    <w:rsid w:val="00BF7048"/>
    <w:rsid w:val="00C10A30"/>
    <w:rsid w:val="00C17301"/>
    <w:rsid w:val="00C175EA"/>
    <w:rsid w:val="00C17615"/>
    <w:rsid w:val="00C25C7D"/>
    <w:rsid w:val="00C31213"/>
    <w:rsid w:val="00C314C3"/>
    <w:rsid w:val="00C31C9E"/>
    <w:rsid w:val="00C329C9"/>
    <w:rsid w:val="00C37D52"/>
    <w:rsid w:val="00C40B0C"/>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014E"/>
    <w:rsid w:val="00CA123A"/>
    <w:rsid w:val="00CA1574"/>
    <w:rsid w:val="00CA4BE4"/>
    <w:rsid w:val="00CA6485"/>
    <w:rsid w:val="00CB60B8"/>
    <w:rsid w:val="00CC10D2"/>
    <w:rsid w:val="00CC3D2E"/>
    <w:rsid w:val="00CD0655"/>
    <w:rsid w:val="00CD244E"/>
    <w:rsid w:val="00CE2CC9"/>
    <w:rsid w:val="00CE44F7"/>
    <w:rsid w:val="00CE4995"/>
    <w:rsid w:val="00CE64F1"/>
    <w:rsid w:val="00CE78CA"/>
    <w:rsid w:val="00CF037E"/>
    <w:rsid w:val="00CF1ABD"/>
    <w:rsid w:val="00CF42D9"/>
    <w:rsid w:val="00CF6930"/>
    <w:rsid w:val="00CF7EE9"/>
    <w:rsid w:val="00D0193F"/>
    <w:rsid w:val="00D05C07"/>
    <w:rsid w:val="00D06A23"/>
    <w:rsid w:val="00D074D1"/>
    <w:rsid w:val="00D13121"/>
    <w:rsid w:val="00D14788"/>
    <w:rsid w:val="00D16ECE"/>
    <w:rsid w:val="00D20A65"/>
    <w:rsid w:val="00D3009D"/>
    <w:rsid w:val="00D31A6A"/>
    <w:rsid w:val="00D332B3"/>
    <w:rsid w:val="00D348A3"/>
    <w:rsid w:val="00D370E1"/>
    <w:rsid w:val="00D41858"/>
    <w:rsid w:val="00D45E18"/>
    <w:rsid w:val="00D50819"/>
    <w:rsid w:val="00D51AE2"/>
    <w:rsid w:val="00D53518"/>
    <w:rsid w:val="00D535D5"/>
    <w:rsid w:val="00D55416"/>
    <w:rsid w:val="00D55BB0"/>
    <w:rsid w:val="00D60B3B"/>
    <w:rsid w:val="00D65B5B"/>
    <w:rsid w:val="00D7486D"/>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52C1"/>
    <w:rsid w:val="00DD711C"/>
    <w:rsid w:val="00DE379F"/>
    <w:rsid w:val="00DE58B1"/>
    <w:rsid w:val="00DE6F15"/>
    <w:rsid w:val="00DE7C5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5504B"/>
    <w:rsid w:val="00E60460"/>
    <w:rsid w:val="00E63EA5"/>
    <w:rsid w:val="00E719A1"/>
    <w:rsid w:val="00E72E24"/>
    <w:rsid w:val="00E73129"/>
    <w:rsid w:val="00E741B3"/>
    <w:rsid w:val="00E82032"/>
    <w:rsid w:val="00E829D3"/>
    <w:rsid w:val="00E8536E"/>
    <w:rsid w:val="00E86187"/>
    <w:rsid w:val="00E8669B"/>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F27"/>
    <w:rsid w:val="00F27B98"/>
    <w:rsid w:val="00F30221"/>
    <w:rsid w:val="00F32058"/>
    <w:rsid w:val="00F33E61"/>
    <w:rsid w:val="00F359DA"/>
    <w:rsid w:val="00F42394"/>
    <w:rsid w:val="00F4334D"/>
    <w:rsid w:val="00F438E9"/>
    <w:rsid w:val="00F452CC"/>
    <w:rsid w:val="00F4539C"/>
    <w:rsid w:val="00F4661C"/>
    <w:rsid w:val="00F50228"/>
    <w:rsid w:val="00F63BFE"/>
    <w:rsid w:val="00F647B3"/>
    <w:rsid w:val="00F64C55"/>
    <w:rsid w:val="00F67764"/>
    <w:rsid w:val="00F720D3"/>
    <w:rsid w:val="00F72455"/>
    <w:rsid w:val="00F76453"/>
    <w:rsid w:val="00F82004"/>
    <w:rsid w:val="00F82CEA"/>
    <w:rsid w:val="00F82D8F"/>
    <w:rsid w:val="00F865FE"/>
    <w:rsid w:val="00F86805"/>
    <w:rsid w:val="00F86D14"/>
    <w:rsid w:val="00F9104E"/>
    <w:rsid w:val="00F91647"/>
    <w:rsid w:val="00F93103"/>
    <w:rsid w:val="00F932C2"/>
    <w:rsid w:val="00F971C4"/>
    <w:rsid w:val="00F97456"/>
    <w:rsid w:val="00FA194D"/>
    <w:rsid w:val="00FA2248"/>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jbc.gob.mx/LeyesYReglamento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07232-F1EB-41EC-8A11-A890F194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3959</Words>
  <Characters>21780</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2022-04-18T17:33:00Z</cp:lastPrinted>
  <dcterms:created xsi:type="dcterms:W3CDTF">2022-04-18T17:25:00Z</dcterms:created>
  <dcterms:modified xsi:type="dcterms:W3CDTF">2022-04-18T19:31:00Z</dcterms:modified>
</cp:coreProperties>
</file>